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35" w:rsidRPr="00F827AC" w:rsidRDefault="00877B85" w:rsidP="00152E05">
      <w:pPr>
        <w:pStyle w:val="Heading1"/>
        <w:spacing w:before="0" w:after="0" w:line="240" w:lineRule="auto"/>
        <w:ind w:left="360" w:hanging="360"/>
        <w:rPr>
          <w:sz w:val="42"/>
          <w:szCs w:val="42"/>
          <w:lang w:val="fr-CA"/>
        </w:rPr>
      </w:pPr>
      <w:r>
        <w:rPr>
          <w:bCs/>
          <w:sz w:val="42"/>
          <w:szCs w:val="42"/>
          <w:lang w:val="fr-CA"/>
        </w:rPr>
        <w:t xml:space="preserve">Arrêt des TMFV </w:t>
      </w:r>
      <w:r w:rsidR="001406EB">
        <w:rPr>
          <w:bCs/>
          <w:sz w:val="42"/>
          <w:szCs w:val="42"/>
          <w:lang w:val="fr-CA"/>
        </w:rPr>
        <w:t>–</w:t>
      </w:r>
      <w:r>
        <w:rPr>
          <w:bCs/>
          <w:sz w:val="42"/>
          <w:szCs w:val="42"/>
          <w:lang w:val="fr-CA"/>
        </w:rPr>
        <w:t xml:space="preserve"> Audit de cas</w:t>
      </w:r>
    </w:p>
    <w:p w:rsidR="005F2E35" w:rsidRPr="00F827AC" w:rsidRDefault="00300273" w:rsidP="00803874">
      <w:pPr>
        <w:pStyle w:val="BodyText"/>
        <w:spacing w:after="0"/>
        <w:rPr>
          <w:lang w:val="fr-CA"/>
        </w:rPr>
      </w:pPr>
    </w:p>
    <w:tbl>
      <w:tblPr>
        <w:tblStyle w:val="TableGrid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1D82" w:rsidTr="00DF1C42">
        <w:trPr>
          <w:trHeight w:val="720"/>
        </w:trPr>
        <w:tc>
          <w:tcPr>
            <w:tcW w:w="3116" w:type="dxa"/>
          </w:tcPr>
          <w:p w:rsidR="00A12DEE" w:rsidRPr="00F827AC" w:rsidRDefault="00877B85" w:rsidP="007E6F0F">
            <w:pPr>
              <w:jc w:val="center"/>
              <w:rPr>
                <w:rFonts w:cs="Arial"/>
                <w:color w:val="A6A6A6" w:themeColor="background1" w:themeShade="A6"/>
                <w:lang w:val="fr-CA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DATE DE DÉBUT DE L</w:t>
            </w:r>
            <w:r w:rsidR="001406EB">
              <w:rPr>
                <w:rFonts w:cs="Arial"/>
                <w:color w:val="A6A6A6" w:themeColor="background1" w:themeShade="A6"/>
                <w:lang w:val="fr-CA"/>
              </w:rPr>
              <w:t>’</w:t>
            </w:r>
            <w:r w:rsidRPr="00C278EA">
              <w:rPr>
                <w:rFonts w:cs="Arial"/>
                <w:color w:val="A6A6A6" w:themeColor="background1" w:themeShade="A6"/>
                <w:lang w:val="fr-CA"/>
              </w:rPr>
              <w:t>ARRÊT DES TMFV</w:t>
            </w:r>
          </w:p>
          <w:p w:rsidR="00462E73" w:rsidRPr="00C278EA" w:rsidRDefault="00877B85" w:rsidP="00462E73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  <w:lang w:val="fr-CA"/>
              </w:rPr>
              <w:t>AAAA/MM/JJ</w:t>
            </w:r>
          </w:p>
        </w:tc>
        <w:tc>
          <w:tcPr>
            <w:tcW w:w="3117" w:type="dxa"/>
          </w:tcPr>
          <w:p w:rsidR="00A12DEE" w:rsidRPr="00C278EA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  <w:lang w:val="fr-CA"/>
              </w:rPr>
              <w:t>IDENTIFICATEUR 1</w:t>
            </w:r>
          </w:p>
        </w:tc>
        <w:tc>
          <w:tcPr>
            <w:tcW w:w="3117" w:type="dxa"/>
          </w:tcPr>
          <w:p w:rsidR="00A12DEE" w:rsidRPr="00C278EA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  <w:lang w:val="fr-CA"/>
              </w:rPr>
              <w:t>IDENTIFICATEUR</w:t>
            </w:r>
            <w:r w:rsidR="001406EB">
              <w:rPr>
                <w:rFonts w:cs="Arial"/>
                <w:color w:val="A6A6A6" w:themeColor="background1" w:themeShade="A6"/>
                <w:lang w:val="fr-CA"/>
              </w:rPr>
              <w:t> </w:t>
            </w:r>
            <w:r>
              <w:rPr>
                <w:rFonts w:cs="Arial"/>
                <w:color w:val="A6A6A6" w:themeColor="background1" w:themeShade="A6"/>
                <w:lang w:val="fr-CA"/>
              </w:rPr>
              <w:t>2</w:t>
            </w:r>
          </w:p>
        </w:tc>
      </w:tr>
      <w:tr w:rsidR="00891D82" w:rsidTr="00DF1C42">
        <w:trPr>
          <w:trHeight w:val="720"/>
        </w:trPr>
        <w:tc>
          <w:tcPr>
            <w:tcW w:w="3116" w:type="dxa"/>
          </w:tcPr>
          <w:p w:rsidR="00A12DEE" w:rsidRPr="00C278EA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  <w:lang w:val="fr-CA"/>
              </w:rPr>
              <w:t>NOM</w:t>
            </w:r>
          </w:p>
        </w:tc>
        <w:tc>
          <w:tcPr>
            <w:tcW w:w="3117" w:type="dxa"/>
          </w:tcPr>
          <w:p w:rsidR="00A12DEE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  <w:lang w:val="fr-CA"/>
              </w:rPr>
              <w:t>N</w:t>
            </w:r>
            <w:r w:rsidRPr="00300273">
              <w:rPr>
                <w:rFonts w:cs="Arial"/>
                <w:color w:val="A6A6A6" w:themeColor="background1" w:themeShade="A6"/>
                <w:vertAlign w:val="superscript"/>
                <w:lang w:val="fr-CA"/>
              </w:rPr>
              <w:t>o</w:t>
            </w:r>
            <w:r>
              <w:rPr>
                <w:rFonts w:cs="Arial"/>
                <w:color w:val="A6A6A6" w:themeColor="background1" w:themeShade="A6"/>
                <w:lang w:val="fr-CA"/>
              </w:rPr>
              <w:t xml:space="preserve"> DE DO</w:t>
            </w:r>
            <w:bookmarkStart w:id="0" w:name="_GoBack"/>
            <w:bookmarkEnd w:id="0"/>
            <w:r>
              <w:rPr>
                <w:rFonts w:cs="Arial"/>
                <w:color w:val="A6A6A6" w:themeColor="background1" w:themeShade="A6"/>
                <w:lang w:val="fr-CA"/>
              </w:rPr>
              <w:t>SSIER MÉDICAL</w:t>
            </w:r>
          </w:p>
        </w:tc>
        <w:tc>
          <w:tcPr>
            <w:tcW w:w="3117" w:type="dxa"/>
            <w:vAlign w:val="center"/>
          </w:tcPr>
          <w:p w:rsidR="00A12DEE" w:rsidRPr="00A12DEE" w:rsidRDefault="00877B85" w:rsidP="00B36E8A">
            <w:pPr>
              <w:pStyle w:val="BodyText"/>
              <w:spacing w:before="100"/>
              <w:jc w:val="center"/>
              <w:rPr>
                <w:color w:val="auto"/>
              </w:rPr>
            </w:pPr>
            <w:r w:rsidRPr="00A12DEE">
              <w:rPr>
                <w:rFonts w:ascii="Webdings" w:hAnsi="Webdings"/>
                <w:sz w:val="24"/>
                <w:lang w:val="fr-CA"/>
              </w:rPr>
              <w:t></w:t>
            </w:r>
            <w:r w:rsidRPr="00A12DEE">
              <w:rPr>
                <w:sz w:val="24"/>
                <w:lang w:val="fr-CA"/>
              </w:rPr>
              <w:t xml:space="preserve">  DDC    </w:t>
            </w:r>
            <w:r w:rsidRPr="00A12DEE">
              <w:rPr>
                <w:rFonts w:ascii="Webdings" w:hAnsi="Webdings"/>
                <w:sz w:val="24"/>
                <w:lang w:val="fr-CA"/>
              </w:rPr>
              <w:t></w:t>
            </w:r>
            <w:r w:rsidRPr="00A12DEE">
              <w:rPr>
                <w:sz w:val="24"/>
                <w:lang w:val="fr-CA"/>
              </w:rPr>
              <w:t xml:space="preserve"> Pas de don</w:t>
            </w:r>
          </w:p>
        </w:tc>
      </w:tr>
    </w:tbl>
    <w:p w:rsidR="00650C39" w:rsidRDefault="00300273" w:rsidP="00A12DEE">
      <w:pPr>
        <w:pStyle w:val="BodyText"/>
        <w:spacing w:after="0"/>
      </w:pPr>
    </w:p>
    <w:p w:rsidR="00A12DEE" w:rsidRPr="00F827AC" w:rsidRDefault="00877B85" w:rsidP="00A12DEE">
      <w:pPr>
        <w:pStyle w:val="BodyText"/>
        <w:rPr>
          <w:lang w:val="fr-CA"/>
        </w:rPr>
      </w:pPr>
      <w:r>
        <w:rPr>
          <w:lang w:val="fr-CA"/>
        </w:rPr>
        <w:t>Cause du décès/de la décision d</w:t>
      </w:r>
      <w:r w:rsidR="001406EB">
        <w:rPr>
          <w:lang w:val="fr-CA"/>
        </w:rPr>
        <w:t>’</w:t>
      </w:r>
      <w:r>
        <w:rPr>
          <w:lang w:val="fr-CA"/>
        </w:rPr>
        <w:t>arrêt des TMFV</w:t>
      </w:r>
      <w:r w:rsidR="00F827AC">
        <w:rPr>
          <w:lang w:val="fr-CA"/>
        </w:rPr>
        <w:t xml:space="preserve"> : </w:t>
      </w:r>
      <w:r>
        <w:rPr>
          <w:lang w:val="fr-CA"/>
        </w:rPr>
        <w:t>____________________________________________</w:t>
      </w:r>
    </w:p>
    <w:p w:rsidR="00650C39" w:rsidRPr="0002652E" w:rsidRDefault="00877B85" w:rsidP="00A12DEE">
      <w:pPr>
        <w:pStyle w:val="TableTitle"/>
      </w:pPr>
      <w:r>
        <w:rPr>
          <w:bCs/>
          <w:lang w:val="fr-CA"/>
        </w:rPr>
        <w:t>Séquence des événements</w:t>
      </w:r>
    </w:p>
    <w:tbl>
      <w:tblPr>
        <w:tblStyle w:val="CanadianBloodServicesTable1"/>
        <w:tblW w:w="952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55"/>
        <w:gridCol w:w="720"/>
        <w:gridCol w:w="720"/>
        <w:gridCol w:w="4127"/>
      </w:tblGrid>
      <w:tr w:rsidR="00891D82" w:rsidTr="00F827AC">
        <w:trPr>
          <w:trHeight w:val="20"/>
        </w:trPr>
        <w:tc>
          <w:tcPr>
            <w:tcW w:w="3955" w:type="dxa"/>
            <w:vAlign w:val="center"/>
          </w:tcPr>
          <w:p w:rsidR="00650C39" w:rsidRPr="0002652E" w:rsidRDefault="00877B85" w:rsidP="00467AD0">
            <w:pPr>
              <w:pStyle w:val="TableHeaderRow"/>
            </w:pPr>
            <w:r w:rsidRPr="0002652E">
              <w:rPr>
                <w:bCs/>
                <w:lang w:val="fr-CA"/>
              </w:rPr>
              <w:t>Événement</w:t>
            </w:r>
          </w:p>
        </w:tc>
        <w:tc>
          <w:tcPr>
            <w:tcW w:w="1440" w:type="dxa"/>
            <w:gridSpan w:val="2"/>
            <w:vAlign w:val="center"/>
          </w:tcPr>
          <w:p w:rsidR="00650C39" w:rsidRPr="0002652E" w:rsidRDefault="00877B85" w:rsidP="00583823">
            <w:pPr>
              <w:pStyle w:val="TableHeaderRow"/>
              <w:ind w:right="30"/>
              <w:jc w:val="center"/>
            </w:pPr>
            <w:r w:rsidRPr="0002652E">
              <w:rPr>
                <w:bCs/>
                <w:lang w:val="fr-CA"/>
              </w:rPr>
              <w:t xml:space="preserve">Heure </w:t>
            </w:r>
          </w:p>
        </w:tc>
        <w:tc>
          <w:tcPr>
            <w:tcW w:w="4127" w:type="dxa"/>
            <w:vAlign w:val="center"/>
          </w:tcPr>
          <w:p w:rsidR="00650C39" w:rsidRPr="0002652E" w:rsidRDefault="00877B85" w:rsidP="00A12DEE">
            <w:pPr>
              <w:pStyle w:val="TableHeaderRow"/>
              <w:ind w:right="30"/>
              <w:jc w:val="center"/>
              <w:rPr>
                <w:bCs/>
              </w:rPr>
            </w:pPr>
            <w:r w:rsidRPr="0002652E">
              <w:rPr>
                <w:bCs/>
                <w:lang w:val="fr-CA"/>
              </w:rPr>
              <w:t>Commentaires</w:t>
            </w:r>
          </w:p>
        </w:tc>
      </w:tr>
      <w:tr w:rsidR="00891D82" w:rsidTr="00F827AC">
        <w:trPr>
          <w:trHeight w:val="850"/>
        </w:trPr>
        <w:tc>
          <w:tcPr>
            <w:tcW w:w="3955" w:type="dxa"/>
            <w:vAlign w:val="center"/>
          </w:tcPr>
          <w:p w:rsidR="00650C39" w:rsidRPr="0002652E" w:rsidRDefault="00877B85" w:rsidP="00AC661F">
            <w:pPr>
              <w:pStyle w:val="TableBodyRow"/>
            </w:pPr>
            <w:r w:rsidRPr="0002652E">
              <w:rPr>
                <w:lang w:val="fr-CA"/>
              </w:rPr>
              <w:t>Retrait des vasopresseurs</w:t>
            </w:r>
          </w:p>
        </w:tc>
        <w:tc>
          <w:tcPr>
            <w:tcW w:w="1440" w:type="dxa"/>
            <w:gridSpan w:val="2"/>
            <w:vAlign w:val="center"/>
          </w:tcPr>
          <w:p w:rsidR="00650C39" w:rsidRPr="00AC661F" w:rsidRDefault="00877B85" w:rsidP="00583823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  <w:lang w:val="fr-CA"/>
              </w:rPr>
              <w:t>Début</w:t>
            </w:r>
          </w:p>
          <w:p w:rsidR="00650C39" w:rsidRDefault="00877B85" w:rsidP="00583823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  <w:p w:rsidR="00AC661F" w:rsidRPr="00AC661F" w:rsidRDefault="00877B85" w:rsidP="00583823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  <w:lang w:val="fr-CA"/>
              </w:rPr>
              <w:t>Fin</w:t>
            </w:r>
          </w:p>
          <w:p w:rsidR="00650C39" w:rsidRPr="0002652E" w:rsidRDefault="00877B85" w:rsidP="00583823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</w:tc>
        <w:tc>
          <w:tcPr>
            <w:tcW w:w="4127" w:type="dxa"/>
          </w:tcPr>
          <w:p w:rsidR="00650C39" w:rsidRPr="0002652E" w:rsidRDefault="00300273" w:rsidP="00A12DEE">
            <w:pPr>
              <w:pStyle w:val="TableBodyRow"/>
            </w:pPr>
          </w:p>
        </w:tc>
      </w:tr>
      <w:tr w:rsidR="00891D82" w:rsidTr="00F827AC">
        <w:trPr>
          <w:trHeight w:val="20"/>
        </w:trPr>
        <w:tc>
          <w:tcPr>
            <w:tcW w:w="3955" w:type="dxa"/>
            <w:vAlign w:val="center"/>
          </w:tcPr>
          <w:p w:rsidR="00650C39" w:rsidRPr="00F827AC" w:rsidRDefault="00877B85" w:rsidP="00AC661F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Retrait de la ventilation mécanique</w:t>
            </w:r>
          </w:p>
        </w:tc>
        <w:tc>
          <w:tcPr>
            <w:tcW w:w="1440" w:type="dxa"/>
            <w:gridSpan w:val="2"/>
            <w:vAlign w:val="center"/>
          </w:tcPr>
          <w:p w:rsidR="00AC661F" w:rsidRPr="00AC661F" w:rsidRDefault="00877B85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  <w:lang w:val="fr-CA"/>
              </w:rPr>
              <w:t>Début</w:t>
            </w:r>
          </w:p>
          <w:p w:rsidR="00AC661F" w:rsidRDefault="00877B85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  <w:p w:rsidR="00AC661F" w:rsidRPr="00AC661F" w:rsidRDefault="00877B85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  <w:lang w:val="fr-CA"/>
              </w:rPr>
              <w:t>Fin</w:t>
            </w:r>
          </w:p>
          <w:p w:rsidR="00650C39" w:rsidRPr="0002652E" w:rsidRDefault="00877B85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</w:tc>
        <w:tc>
          <w:tcPr>
            <w:tcW w:w="4127" w:type="dxa"/>
          </w:tcPr>
          <w:p w:rsidR="00650C39" w:rsidRPr="0002652E" w:rsidRDefault="00300273" w:rsidP="00A12DEE">
            <w:pPr>
              <w:pStyle w:val="TableBodyRow"/>
            </w:pPr>
          </w:p>
        </w:tc>
      </w:tr>
      <w:tr w:rsidR="00891D82" w:rsidTr="00F827AC">
        <w:trPr>
          <w:trHeight w:val="20"/>
        </w:trPr>
        <w:tc>
          <w:tcPr>
            <w:tcW w:w="3955" w:type="dxa"/>
            <w:vAlign w:val="center"/>
          </w:tcPr>
          <w:p w:rsidR="00650C39" w:rsidRPr="0002652E" w:rsidRDefault="00877B85" w:rsidP="00AC661F">
            <w:pPr>
              <w:pStyle w:val="TableBodyRow"/>
            </w:pPr>
            <w:r w:rsidRPr="0002652E">
              <w:rPr>
                <w:lang w:val="fr-CA"/>
              </w:rPr>
              <w:t>Retrait de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oxygène d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appoint</w:t>
            </w:r>
          </w:p>
        </w:tc>
        <w:tc>
          <w:tcPr>
            <w:tcW w:w="1440" w:type="dxa"/>
            <w:gridSpan w:val="2"/>
            <w:vAlign w:val="center"/>
          </w:tcPr>
          <w:p w:rsidR="00AC661F" w:rsidRPr="00AC661F" w:rsidRDefault="00877B85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  <w:lang w:val="fr-CA"/>
              </w:rPr>
              <w:t>Début</w:t>
            </w:r>
          </w:p>
          <w:p w:rsidR="00AC661F" w:rsidRDefault="00877B85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  <w:p w:rsidR="00AC661F" w:rsidRPr="00AC661F" w:rsidRDefault="00877B85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  <w:lang w:val="fr-CA"/>
              </w:rPr>
              <w:t>Fin</w:t>
            </w:r>
          </w:p>
          <w:p w:rsidR="00650C39" w:rsidRPr="0002652E" w:rsidRDefault="00877B85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</w:tc>
        <w:tc>
          <w:tcPr>
            <w:tcW w:w="4127" w:type="dxa"/>
          </w:tcPr>
          <w:p w:rsidR="00650C39" w:rsidRPr="0002652E" w:rsidRDefault="00300273" w:rsidP="00A12DEE">
            <w:pPr>
              <w:pStyle w:val="TableBodyRow"/>
            </w:pPr>
          </w:p>
        </w:tc>
      </w:tr>
      <w:tr w:rsidR="00891D82" w:rsidTr="00F827AC">
        <w:trPr>
          <w:trHeight w:val="20"/>
        </w:trPr>
        <w:tc>
          <w:tcPr>
            <w:tcW w:w="3955" w:type="dxa"/>
            <w:vAlign w:val="center"/>
          </w:tcPr>
          <w:p w:rsidR="00650C39" w:rsidRPr="0002652E" w:rsidRDefault="00877B85" w:rsidP="00467AD0">
            <w:pPr>
              <w:pStyle w:val="TableBodyRow"/>
            </w:pPr>
            <w:r w:rsidRPr="0002652E">
              <w:rPr>
                <w:lang w:val="fr-CA"/>
              </w:rPr>
              <w:t>Extubation</w:t>
            </w:r>
          </w:p>
        </w:tc>
        <w:tc>
          <w:tcPr>
            <w:tcW w:w="1440" w:type="dxa"/>
            <w:gridSpan w:val="2"/>
            <w:vAlign w:val="center"/>
          </w:tcPr>
          <w:p w:rsidR="00650C39" w:rsidRPr="0002652E" w:rsidRDefault="00877B85" w:rsidP="00583823">
            <w:pPr>
              <w:pStyle w:val="TableBodyRow"/>
              <w:ind w:right="30"/>
              <w:jc w:val="center"/>
              <w:rPr>
                <w:b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</w:tc>
        <w:tc>
          <w:tcPr>
            <w:tcW w:w="4127" w:type="dxa"/>
          </w:tcPr>
          <w:p w:rsidR="00650C39" w:rsidRPr="0002652E" w:rsidRDefault="00300273" w:rsidP="00A12DEE">
            <w:pPr>
              <w:pStyle w:val="TableBodyRow"/>
            </w:pPr>
          </w:p>
        </w:tc>
      </w:tr>
      <w:tr w:rsidR="00891D82" w:rsidRPr="00300273" w:rsidTr="008965F3">
        <w:trPr>
          <w:trHeight w:val="733"/>
        </w:trPr>
        <w:tc>
          <w:tcPr>
            <w:tcW w:w="3955" w:type="dxa"/>
            <w:vAlign w:val="center"/>
          </w:tcPr>
          <w:p w:rsidR="00AC661F" w:rsidRPr="0002652E" w:rsidRDefault="00877B85" w:rsidP="00AC661F">
            <w:pPr>
              <w:pStyle w:val="TableBodyRow"/>
            </w:pPr>
            <w:r>
              <w:rPr>
                <w:lang w:val="fr-CA"/>
              </w:rPr>
              <w:t>Décès</w:t>
            </w:r>
          </w:p>
        </w:tc>
        <w:tc>
          <w:tcPr>
            <w:tcW w:w="1440" w:type="dxa"/>
            <w:gridSpan w:val="2"/>
            <w:vAlign w:val="center"/>
          </w:tcPr>
          <w:p w:rsidR="00AC661F" w:rsidRPr="00F827AC" w:rsidRDefault="00877B85" w:rsidP="00AC661F">
            <w:pPr>
              <w:pStyle w:val="TableBodyRow"/>
              <w:ind w:right="30"/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Date/heure</w:t>
            </w:r>
          </w:p>
          <w:p w:rsidR="00AC661F" w:rsidRPr="00F827AC" w:rsidRDefault="00877B85" w:rsidP="00AC661F">
            <w:pPr>
              <w:pStyle w:val="TableBodyRow"/>
              <w:ind w:right="30"/>
              <w:jc w:val="center"/>
              <w:rPr>
                <w:bCs/>
                <w:color w:val="D9D9D9" w:themeColor="background1" w:themeShade="D9"/>
                <w:lang w:val="fr-CA"/>
              </w:rPr>
            </w:pPr>
            <w:r w:rsidRPr="00421309">
              <w:rPr>
                <w:bCs/>
                <w:color w:val="D9D9D9" w:themeColor="background1" w:themeShade="D9"/>
                <w:lang w:val="fr-CA"/>
              </w:rPr>
              <w:t>AAAA/MM/JJ</w:t>
            </w:r>
          </w:p>
          <w:p w:rsidR="00AC661F" w:rsidRPr="00F827AC" w:rsidRDefault="00877B85" w:rsidP="00AC661F">
            <w:pPr>
              <w:pStyle w:val="TableBodyRow"/>
              <w:ind w:right="30"/>
              <w:jc w:val="center"/>
              <w:rPr>
                <w:b/>
                <w:bCs/>
                <w:lang w:val="fr-CA"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</w:tc>
        <w:tc>
          <w:tcPr>
            <w:tcW w:w="4127" w:type="dxa"/>
          </w:tcPr>
          <w:p w:rsidR="00AC661F" w:rsidRPr="00F827AC" w:rsidRDefault="00300273" w:rsidP="00A12DEE">
            <w:pPr>
              <w:pStyle w:val="TableBodyRow"/>
              <w:rPr>
                <w:lang w:val="fr-CA"/>
              </w:rPr>
            </w:pPr>
          </w:p>
        </w:tc>
      </w:tr>
      <w:tr w:rsidR="00891D82" w:rsidTr="008965F3">
        <w:trPr>
          <w:trHeight w:val="670"/>
        </w:trPr>
        <w:tc>
          <w:tcPr>
            <w:tcW w:w="3955" w:type="dxa"/>
            <w:vMerge w:val="restart"/>
            <w:vAlign w:val="center"/>
          </w:tcPr>
          <w:p w:rsidR="00467AD0" w:rsidRPr="00F827AC" w:rsidRDefault="00877B85" w:rsidP="00467AD0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Transfert de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unité avant le décès.</w:t>
            </w:r>
          </w:p>
          <w:p w:rsidR="00AC661F" w:rsidRPr="00F827AC" w:rsidRDefault="00300273" w:rsidP="00467AD0">
            <w:pPr>
              <w:pStyle w:val="TableBodyRow"/>
              <w:rPr>
                <w:lang w:val="fr-CA"/>
              </w:rPr>
            </w:pPr>
          </w:p>
          <w:p w:rsidR="00467AD0" w:rsidRPr="00F827AC" w:rsidRDefault="00877B85" w:rsidP="00467AD0">
            <w:pPr>
              <w:pStyle w:val="TableBodyRow"/>
              <w:rPr>
                <w:i/>
                <w:lang w:val="fr-CA"/>
              </w:rPr>
            </w:pPr>
            <w:r w:rsidRPr="00AC661F">
              <w:rPr>
                <w:i/>
                <w:iCs/>
                <w:lang w:val="fr-CA"/>
              </w:rPr>
              <w:t>Si oui, indiquer la date et l</w:t>
            </w:r>
            <w:r w:rsidR="001406EB">
              <w:rPr>
                <w:i/>
                <w:iCs/>
                <w:lang w:val="fr-CA"/>
              </w:rPr>
              <w:t>’</w:t>
            </w:r>
            <w:r w:rsidRPr="00AC661F">
              <w:rPr>
                <w:i/>
                <w:iCs/>
                <w:lang w:val="fr-CA"/>
              </w:rPr>
              <w:t>heure.</w:t>
            </w:r>
          </w:p>
        </w:tc>
        <w:tc>
          <w:tcPr>
            <w:tcW w:w="720" w:type="dxa"/>
            <w:vAlign w:val="center"/>
          </w:tcPr>
          <w:p w:rsidR="00F827AC" w:rsidRPr="00F827AC" w:rsidRDefault="00F827AC" w:rsidP="006D7F2A">
            <w:pPr>
              <w:pStyle w:val="TableBodyRow"/>
              <w:spacing w:before="120" w:after="120"/>
              <w:contextualSpacing w:val="0"/>
              <w:jc w:val="center"/>
              <w:rPr>
                <w:rFonts w:asciiTheme="majorHAnsi" w:hAnsiTheme="majorHAnsi" w:cstheme="majorHAnsi"/>
                <w:sz w:val="20"/>
                <w:lang w:val="fr-CA"/>
              </w:rPr>
            </w:pPr>
            <w:r w:rsidRPr="00A12DEE">
              <w:rPr>
                <w:rFonts w:ascii="Webdings" w:hAnsi="Webdings"/>
                <w:lang w:val="fr-CA"/>
              </w:rPr>
              <w:t></w:t>
            </w:r>
          </w:p>
          <w:p w:rsidR="00467AD0" w:rsidRPr="00F827AC" w:rsidRDefault="00877B85" w:rsidP="00583823">
            <w:pPr>
              <w:pStyle w:val="TableBodyRow"/>
              <w:spacing w:before="1440"/>
              <w:ind w:right="0"/>
              <w:jc w:val="center"/>
              <w:rPr>
                <w:sz w:val="18"/>
                <w:szCs w:val="18"/>
              </w:rPr>
            </w:pPr>
            <w:r w:rsidRPr="00F827AC">
              <w:rPr>
                <w:sz w:val="18"/>
                <w:szCs w:val="18"/>
                <w:lang w:val="fr-CA"/>
              </w:rPr>
              <w:t>Non</w:t>
            </w:r>
          </w:p>
        </w:tc>
        <w:tc>
          <w:tcPr>
            <w:tcW w:w="720" w:type="dxa"/>
            <w:vAlign w:val="center"/>
          </w:tcPr>
          <w:p w:rsidR="00F827AC" w:rsidRPr="00F827AC" w:rsidRDefault="00F827AC" w:rsidP="006D7F2A">
            <w:pPr>
              <w:pStyle w:val="TableBodyRow"/>
              <w:spacing w:before="120" w:after="120"/>
              <w:contextualSpacing w:val="0"/>
              <w:jc w:val="center"/>
              <w:rPr>
                <w:rFonts w:asciiTheme="majorHAnsi" w:hAnsiTheme="majorHAnsi" w:cstheme="majorHAnsi"/>
                <w:sz w:val="20"/>
                <w:lang w:val="fr-CA"/>
              </w:rPr>
            </w:pPr>
            <w:r w:rsidRPr="00A12DEE">
              <w:rPr>
                <w:rFonts w:ascii="Webdings" w:hAnsi="Webdings"/>
                <w:lang w:val="fr-CA"/>
              </w:rPr>
              <w:t></w:t>
            </w:r>
          </w:p>
          <w:p w:rsidR="00467AD0" w:rsidRPr="0002652E" w:rsidRDefault="00877B85" w:rsidP="00583823">
            <w:pPr>
              <w:pStyle w:val="TableBodyRow"/>
              <w:spacing w:before="1440" w:after="0"/>
              <w:ind w:right="0"/>
              <w:jc w:val="center"/>
            </w:pPr>
            <w:r>
              <w:rPr>
                <w:lang w:val="fr-CA"/>
              </w:rPr>
              <w:t>Oui</w:t>
            </w:r>
          </w:p>
        </w:tc>
        <w:tc>
          <w:tcPr>
            <w:tcW w:w="4127" w:type="dxa"/>
            <w:vMerge w:val="restart"/>
          </w:tcPr>
          <w:p w:rsidR="00467AD0" w:rsidRPr="0002652E" w:rsidRDefault="00300273" w:rsidP="00467AD0">
            <w:pPr>
              <w:pStyle w:val="TableBodyRow"/>
            </w:pPr>
          </w:p>
        </w:tc>
      </w:tr>
      <w:tr w:rsidR="00891D82" w:rsidRPr="00300273" w:rsidTr="00F827AC">
        <w:trPr>
          <w:trHeight w:val="20"/>
        </w:trPr>
        <w:tc>
          <w:tcPr>
            <w:tcW w:w="3955" w:type="dxa"/>
            <w:vMerge/>
            <w:vAlign w:val="center"/>
          </w:tcPr>
          <w:p w:rsidR="00AC661F" w:rsidRPr="0002652E" w:rsidRDefault="00300273" w:rsidP="00467AD0">
            <w:pPr>
              <w:pStyle w:val="TableBodyRow"/>
            </w:pPr>
          </w:p>
        </w:tc>
        <w:tc>
          <w:tcPr>
            <w:tcW w:w="1440" w:type="dxa"/>
            <w:gridSpan w:val="2"/>
            <w:vAlign w:val="center"/>
          </w:tcPr>
          <w:p w:rsidR="00AC661F" w:rsidRPr="00F827AC" w:rsidRDefault="00877B85" w:rsidP="00AC661F">
            <w:pPr>
              <w:pStyle w:val="TableBodyRow"/>
              <w:ind w:right="30"/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Date/heure</w:t>
            </w:r>
          </w:p>
          <w:p w:rsidR="00AC661F" w:rsidRPr="00F827AC" w:rsidRDefault="00877B85" w:rsidP="00AC661F">
            <w:pPr>
              <w:pStyle w:val="TableBodyRow"/>
              <w:ind w:right="30"/>
              <w:jc w:val="center"/>
              <w:rPr>
                <w:bCs/>
                <w:color w:val="D9D9D9" w:themeColor="background1" w:themeShade="D9"/>
                <w:lang w:val="fr-CA"/>
              </w:rPr>
            </w:pPr>
            <w:r w:rsidRPr="00421309">
              <w:rPr>
                <w:bCs/>
                <w:color w:val="D9D9D9" w:themeColor="background1" w:themeShade="D9"/>
                <w:lang w:val="fr-CA"/>
              </w:rPr>
              <w:t>AAAA/MM/JJ</w:t>
            </w:r>
          </w:p>
          <w:p w:rsidR="00AC661F" w:rsidRPr="00F827AC" w:rsidRDefault="00877B85" w:rsidP="00AC661F">
            <w:pPr>
              <w:pStyle w:val="TableBodyRow"/>
              <w:ind w:right="0"/>
              <w:jc w:val="center"/>
              <w:rPr>
                <w:b/>
                <w:bCs/>
                <w:lang w:val="fr-CA"/>
              </w:rPr>
            </w:pPr>
            <w:r w:rsidRPr="0002652E">
              <w:rPr>
                <w:b/>
                <w:bCs/>
                <w:lang w:val="fr-CA"/>
              </w:rPr>
              <w:t>:</w:t>
            </w:r>
          </w:p>
        </w:tc>
        <w:tc>
          <w:tcPr>
            <w:tcW w:w="4127" w:type="dxa"/>
            <w:vMerge/>
          </w:tcPr>
          <w:p w:rsidR="00AC661F" w:rsidRPr="00F827AC" w:rsidRDefault="00300273" w:rsidP="00467AD0">
            <w:pPr>
              <w:pStyle w:val="TableBodyRow"/>
              <w:rPr>
                <w:lang w:val="fr-CA"/>
              </w:rPr>
            </w:pPr>
          </w:p>
        </w:tc>
      </w:tr>
      <w:tr w:rsidR="00891D82" w:rsidRPr="00F827AC" w:rsidTr="00F827AC">
        <w:trPr>
          <w:trHeight w:val="841"/>
        </w:trPr>
        <w:tc>
          <w:tcPr>
            <w:tcW w:w="3955" w:type="dxa"/>
            <w:vAlign w:val="center"/>
          </w:tcPr>
          <w:p w:rsidR="00F827AC" w:rsidRPr="008965F3" w:rsidRDefault="00877B85" w:rsidP="00467AD0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Moniteurs de chevet</w:t>
            </w:r>
          </w:p>
        </w:tc>
        <w:tc>
          <w:tcPr>
            <w:tcW w:w="1440" w:type="dxa"/>
            <w:gridSpan w:val="2"/>
          </w:tcPr>
          <w:p w:rsidR="00F827AC" w:rsidRPr="008965F3" w:rsidRDefault="00877B85" w:rsidP="008965F3">
            <w:pPr>
              <w:pStyle w:val="TableBodyRow"/>
              <w:spacing w:before="120"/>
              <w:ind w:right="0"/>
              <w:rPr>
                <w:sz w:val="20"/>
                <w:lang w:val="fr-CA"/>
              </w:rPr>
            </w:pPr>
            <w:r w:rsidRPr="00A12DEE">
              <w:rPr>
                <w:rFonts w:ascii="Webdings" w:hAnsi="Webdings"/>
                <w:lang w:val="fr-CA"/>
              </w:rPr>
              <w:t></w:t>
            </w:r>
            <w:r w:rsidR="00F827AC">
              <w:rPr>
                <w:rFonts w:ascii="Webdings" w:hAnsi="Webdings"/>
                <w:lang w:val="fr-CA"/>
              </w:rPr>
              <w:t></w:t>
            </w:r>
            <w:r w:rsidRPr="008965F3">
              <w:rPr>
                <w:rFonts w:ascii="Calibri" w:hAnsi="Calibri"/>
                <w:sz w:val="22"/>
                <w:szCs w:val="22"/>
                <w:lang w:val="fr-CA"/>
              </w:rPr>
              <w:t>ALLUM</w:t>
            </w:r>
            <w:r w:rsidR="008965F3" w:rsidRPr="008965F3">
              <w:rPr>
                <w:rFonts w:ascii="Calibri" w:hAnsi="Calibri" w:cs="Arial"/>
                <w:sz w:val="22"/>
                <w:szCs w:val="22"/>
                <w:lang w:val="fr-CA"/>
              </w:rPr>
              <w:t>É</w:t>
            </w:r>
          </w:p>
          <w:p w:rsidR="006D7F2A" w:rsidRPr="006D7F2A" w:rsidRDefault="006D7F2A" w:rsidP="008965F3">
            <w:pPr>
              <w:pStyle w:val="TableBodyRow"/>
              <w:spacing w:before="0" w:after="0"/>
              <w:ind w:right="0"/>
              <w:rPr>
                <w:sz w:val="16"/>
                <w:szCs w:val="16"/>
                <w:lang w:val="fr-CA"/>
              </w:rPr>
            </w:pPr>
          </w:p>
          <w:p w:rsidR="00467AD0" w:rsidRPr="00F827AC" w:rsidRDefault="00877B85" w:rsidP="008965F3">
            <w:pPr>
              <w:pStyle w:val="TableBodyRow"/>
              <w:spacing w:before="0" w:after="0"/>
              <w:ind w:right="0"/>
              <w:rPr>
                <w:lang w:val="fr-CA"/>
              </w:rPr>
            </w:pPr>
            <w:r w:rsidRPr="00A12DEE">
              <w:rPr>
                <w:rFonts w:ascii="Webdings" w:hAnsi="Webdings"/>
                <w:lang w:val="fr-CA"/>
              </w:rPr>
              <w:t></w:t>
            </w:r>
            <w:r w:rsidR="00F827AC">
              <w:rPr>
                <w:rFonts w:ascii="Webdings" w:hAnsi="Webdings"/>
                <w:lang w:val="fr-CA"/>
              </w:rPr>
              <w:t></w:t>
            </w:r>
            <w:r w:rsidR="008965F3" w:rsidRPr="008965F3">
              <w:rPr>
                <w:rFonts w:ascii="Calibri" w:hAnsi="Calibri"/>
                <w:sz w:val="22"/>
                <w:szCs w:val="22"/>
                <w:lang w:val="fr-CA"/>
              </w:rPr>
              <w:t>ÉTEINT</w:t>
            </w:r>
          </w:p>
        </w:tc>
        <w:tc>
          <w:tcPr>
            <w:tcW w:w="4127" w:type="dxa"/>
          </w:tcPr>
          <w:p w:rsidR="00467AD0" w:rsidRPr="00F827AC" w:rsidRDefault="00300273" w:rsidP="00467AD0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F827AC">
        <w:trPr>
          <w:trHeight w:val="20"/>
        </w:trPr>
        <w:tc>
          <w:tcPr>
            <w:tcW w:w="9522" w:type="dxa"/>
            <w:gridSpan w:val="4"/>
            <w:vAlign w:val="center"/>
          </w:tcPr>
          <w:p w:rsidR="00583823" w:rsidRPr="00F827AC" w:rsidRDefault="00877B85" w:rsidP="008965F3">
            <w:pPr>
              <w:ind w:left="900" w:right="76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</w:t>
            </w:r>
            <w:r w:rsidR="001406EB">
              <w:rPr>
                <w:b/>
                <w:bCs/>
                <w:lang w:val="fr-CA"/>
              </w:rPr>
              <w:t> </w:t>
            </w:r>
            <w:r w:rsidRPr="00C278EA">
              <w:rPr>
                <w:b/>
                <w:bCs/>
                <w:lang w:val="fr-CA"/>
              </w:rPr>
              <w:t>:</w:t>
            </w:r>
            <w:r w:rsidR="008965F3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 à la fin de la présente annexe.)</w:t>
            </w:r>
          </w:p>
          <w:p w:rsidR="00AC661F" w:rsidRPr="00F827AC" w:rsidRDefault="00300273" w:rsidP="00AC661F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AC661F" w:rsidRDefault="00300273" w:rsidP="00AC661F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6D7F2A" w:rsidRDefault="006D7F2A" w:rsidP="00AC661F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6D7F2A" w:rsidRPr="00F827AC" w:rsidRDefault="006D7F2A" w:rsidP="00AC661F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650C39" w:rsidRPr="00F827AC" w:rsidRDefault="00877B85" w:rsidP="00583823">
      <w:pPr>
        <w:pStyle w:val="TableTitle"/>
        <w:rPr>
          <w:lang w:val="fr-CA"/>
        </w:rPr>
      </w:pPr>
      <w:r>
        <w:rPr>
          <w:bCs/>
          <w:lang w:val="fr-CA"/>
        </w:rPr>
        <w:lastRenderedPageBreak/>
        <w:t>Préparation de l</w:t>
      </w:r>
      <w:r w:rsidR="001406EB">
        <w:rPr>
          <w:bCs/>
          <w:lang w:val="fr-CA"/>
        </w:rPr>
        <w:t>’</w:t>
      </w:r>
      <w:r>
        <w:rPr>
          <w:bCs/>
          <w:lang w:val="fr-CA"/>
        </w:rPr>
        <w:t>arrêt des TMFV</w:t>
      </w:r>
    </w:p>
    <w:p w:rsidR="00583823" w:rsidRPr="00F827AC" w:rsidRDefault="00877B85" w:rsidP="00583823">
      <w:pPr>
        <w:pStyle w:val="BodyText"/>
        <w:rPr>
          <w:i/>
          <w:lang w:val="fr-CA"/>
        </w:rPr>
      </w:pPr>
      <w:r>
        <w:rPr>
          <w:i/>
          <w:iCs/>
          <w:lang w:val="fr-CA"/>
        </w:rPr>
        <w:t>L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emplacement de la documentation visée par l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audit est défini par chaque établissement. Ne pas inclure les éléments ci-dessous s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ils ne font pas partie de la documentation habituelle de votre établissement. Il peut s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agir des notes des infirmières ou du médecin ou d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une liste de contrôle particulière à remplir dans les cas d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arrêt des TMFV. On recommande fortement l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emploi d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>une liste de contrôle dont les éléments correspondent à ceux de l</w:t>
      </w:r>
      <w:r w:rsidR="001406EB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audit. </w:t>
      </w:r>
    </w:p>
    <w:tbl>
      <w:tblPr>
        <w:tblStyle w:val="CanadianBloodServicesTable1"/>
        <w:tblW w:w="952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5"/>
        <w:gridCol w:w="461"/>
        <w:gridCol w:w="532"/>
        <w:gridCol w:w="2454"/>
      </w:tblGrid>
      <w:tr w:rsidR="00891D82" w:rsidTr="00AE3F03">
        <w:tc>
          <w:tcPr>
            <w:tcW w:w="6075" w:type="dxa"/>
          </w:tcPr>
          <w:p w:rsidR="00B7696C" w:rsidRPr="00F827AC" w:rsidRDefault="00877B85" w:rsidP="00B7696C">
            <w:pPr>
              <w:pStyle w:val="TableHeaderRow"/>
              <w:rPr>
                <w:lang w:val="fr-CA"/>
              </w:rPr>
            </w:pPr>
            <w:r>
              <w:rPr>
                <w:bCs/>
                <w:lang w:val="fr-CA"/>
              </w:rPr>
              <w:t xml:space="preserve">Lesquels de ces éléments sont réellement </w:t>
            </w:r>
            <w:r>
              <w:rPr>
                <w:bCs/>
                <w:i/>
                <w:iCs/>
                <w:u w:val="single"/>
                <w:lang w:val="fr-CA"/>
              </w:rPr>
              <w:t>consignés</w:t>
            </w:r>
            <w:r>
              <w:rPr>
                <w:bCs/>
                <w:lang w:val="fr-CA"/>
              </w:rPr>
              <w:t>?</w:t>
            </w:r>
          </w:p>
        </w:tc>
        <w:tc>
          <w:tcPr>
            <w:tcW w:w="461" w:type="dxa"/>
            <w:vAlign w:val="center"/>
          </w:tcPr>
          <w:p w:rsidR="00B7696C" w:rsidRPr="00C278EA" w:rsidRDefault="00877B85" w:rsidP="00B7696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32" w:type="dxa"/>
            <w:vAlign w:val="center"/>
          </w:tcPr>
          <w:p w:rsidR="00B7696C" w:rsidRPr="00C278EA" w:rsidRDefault="00877B85" w:rsidP="00B7696C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454" w:type="dxa"/>
            <w:vAlign w:val="center"/>
          </w:tcPr>
          <w:p w:rsidR="00B7696C" w:rsidRPr="00C278EA" w:rsidRDefault="00877B85" w:rsidP="00B7696C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Plan de soins multidisciplinaire pour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Avis envoyé à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organisme de don d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organes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Possibilité de don d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organes et de tissus offerte au patient ou à la famille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Caucus préparatoire à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 réunissant le médecin,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infirmière,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inhalothérapeute, le travailleur social, autres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1406EB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 xml:space="preserve">Décision explicite prise </w:t>
            </w:r>
            <w:r w:rsidR="001406EB" w:rsidRPr="0002652E">
              <w:rPr>
                <w:lang w:val="fr-CA"/>
              </w:rPr>
              <w:t xml:space="preserve">de concert avec la famille </w:t>
            </w:r>
            <w:r w:rsidRPr="0002652E">
              <w:rPr>
                <w:lang w:val="fr-CA"/>
              </w:rPr>
              <w:t>en ce qui concerne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 xml:space="preserve">utilisation de moniteurs de chevet 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Signal/signe en place indiquant qu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une procédure d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 est en cours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1406EB">
            <w:pPr>
              <w:pStyle w:val="TableBodyRow"/>
              <w:ind w:right="-9"/>
              <w:rPr>
                <w:lang w:val="fr-CA"/>
              </w:rPr>
            </w:pPr>
            <w:r w:rsidRPr="0002652E">
              <w:rPr>
                <w:lang w:val="fr-CA"/>
              </w:rPr>
              <w:t>Besoins spirituels ou culturels du patient et de la famille discutés avant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Soutien spirituel ou culturel offert au patient et à la famille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75" w:type="dxa"/>
          </w:tcPr>
          <w:p w:rsidR="00650C39" w:rsidRPr="00F827AC" w:rsidRDefault="00877B85" w:rsidP="00583823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Famille encouragée et autorisée à participer aux soins du patient avant, pendant et après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61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  <w:tc>
          <w:tcPr>
            <w:tcW w:w="2454" w:type="dxa"/>
          </w:tcPr>
          <w:p w:rsidR="00650C39" w:rsidRPr="00F827AC" w:rsidRDefault="00300273" w:rsidP="00583823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9522" w:type="dxa"/>
            <w:gridSpan w:val="4"/>
            <w:vAlign w:val="center"/>
          </w:tcPr>
          <w:p w:rsidR="00B7696C" w:rsidRPr="00F827AC" w:rsidRDefault="00877B85" w:rsidP="008965F3">
            <w:pPr>
              <w:ind w:left="900" w:right="76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</w:t>
            </w:r>
            <w:r w:rsidR="001406EB">
              <w:rPr>
                <w:b/>
                <w:bCs/>
                <w:lang w:val="fr-CA"/>
              </w:rPr>
              <w:t> </w:t>
            </w:r>
            <w:r w:rsidRPr="00C278EA">
              <w:rPr>
                <w:b/>
                <w:bCs/>
                <w:lang w:val="fr-CA"/>
              </w:rPr>
              <w:t>:</w:t>
            </w:r>
            <w:r w:rsidR="008965F3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 à la fin de la présente annexe.)</w:t>
            </w:r>
          </w:p>
          <w:p w:rsidR="00B7696C" w:rsidRPr="00F827AC" w:rsidRDefault="00300273" w:rsidP="00B7696C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AC661F" w:rsidRDefault="00300273" w:rsidP="00B7696C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6D7F2A" w:rsidRDefault="006D7F2A" w:rsidP="00B7696C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6D7F2A" w:rsidRPr="00F827AC" w:rsidRDefault="006D7F2A" w:rsidP="00B7696C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AC661F" w:rsidRPr="00F827AC" w:rsidRDefault="00300273" w:rsidP="00B7696C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AE3F03" w:rsidRDefault="00AE3F03" w:rsidP="00B7696C">
      <w:pPr>
        <w:pStyle w:val="TableTitle"/>
        <w:rPr>
          <w:bCs/>
          <w:lang w:val="fr-CA"/>
        </w:rPr>
      </w:pPr>
    </w:p>
    <w:p w:rsidR="00AE3F03" w:rsidRDefault="00AE3F03" w:rsidP="00AE3F03">
      <w:pPr>
        <w:pStyle w:val="Heading2"/>
        <w:rPr>
          <w:lang w:val="fr-CA"/>
        </w:rPr>
      </w:pPr>
      <w:r>
        <w:rPr>
          <w:lang w:val="fr-CA"/>
        </w:rPr>
        <w:br w:type="page"/>
      </w:r>
    </w:p>
    <w:p w:rsidR="00650C39" w:rsidRPr="0002652E" w:rsidRDefault="00877B85" w:rsidP="00B7696C">
      <w:pPr>
        <w:pStyle w:val="TableTitle"/>
      </w:pPr>
      <w:r>
        <w:rPr>
          <w:bCs/>
          <w:lang w:val="fr-CA"/>
        </w:rPr>
        <w:lastRenderedPageBreak/>
        <w:t>Processus d</w:t>
      </w:r>
      <w:r w:rsidR="001406EB">
        <w:rPr>
          <w:bCs/>
          <w:lang w:val="fr-CA"/>
        </w:rPr>
        <w:t>’</w:t>
      </w:r>
      <w:r>
        <w:rPr>
          <w:bCs/>
          <w:lang w:val="fr-CA"/>
        </w:rPr>
        <w:t>arrêt des TMFV</w:t>
      </w:r>
    </w:p>
    <w:tbl>
      <w:tblPr>
        <w:tblStyle w:val="CanadianBloodServicesTable1"/>
        <w:tblW w:w="952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20"/>
        <w:gridCol w:w="482"/>
        <w:gridCol w:w="532"/>
        <w:gridCol w:w="2488"/>
      </w:tblGrid>
      <w:tr w:rsidR="00891D82" w:rsidTr="00AE3F03">
        <w:trPr>
          <w:trHeight w:val="20"/>
        </w:trPr>
        <w:tc>
          <w:tcPr>
            <w:tcW w:w="6020" w:type="dxa"/>
          </w:tcPr>
          <w:p w:rsidR="00B7696C" w:rsidRPr="0002652E" w:rsidRDefault="00877B85" w:rsidP="00B7696C">
            <w:pPr>
              <w:pStyle w:val="TableHeaderRow"/>
            </w:pPr>
            <w:r>
              <w:rPr>
                <w:bCs/>
                <w:lang w:val="fr-CA"/>
              </w:rPr>
              <w:t>Étapes</w:t>
            </w:r>
          </w:p>
        </w:tc>
        <w:tc>
          <w:tcPr>
            <w:tcW w:w="482" w:type="dxa"/>
            <w:vAlign w:val="center"/>
          </w:tcPr>
          <w:p w:rsidR="00B7696C" w:rsidRPr="00C278EA" w:rsidRDefault="00877B85" w:rsidP="00B7696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32" w:type="dxa"/>
            <w:vAlign w:val="center"/>
          </w:tcPr>
          <w:p w:rsidR="00B7696C" w:rsidRPr="00C278EA" w:rsidRDefault="00877B85" w:rsidP="00B7696C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488" w:type="dxa"/>
            <w:vAlign w:val="center"/>
          </w:tcPr>
          <w:p w:rsidR="00B7696C" w:rsidRPr="00C278EA" w:rsidRDefault="00877B85" w:rsidP="00B7696C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891D82" w:rsidRPr="00300273" w:rsidTr="00AE3F03">
        <w:trPr>
          <w:trHeight w:val="20"/>
        </w:trPr>
        <w:tc>
          <w:tcPr>
            <w:tcW w:w="6020" w:type="dxa"/>
          </w:tcPr>
          <w:p w:rsidR="00650C39" w:rsidRPr="00F827AC" w:rsidRDefault="00877B85" w:rsidP="00B7696C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Famille présente pendant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2488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20" w:type="dxa"/>
          </w:tcPr>
          <w:p w:rsidR="00650C39" w:rsidRPr="00F827AC" w:rsidRDefault="00877B85" w:rsidP="00B7696C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Préoccupation notée quant à la disponibilité de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infirmière pendant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2488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20" w:type="dxa"/>
          </w:tcPr>
          <w:p w:rsidR="00650C39" w:rsidRPr="00F827AC" w:rsidRDefault="00877B85" w:rsidP="00B7696C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Préoccupation notée quant à la disponibilité de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inhalothérapeute pendant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2488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20" w:type="dxa"/>
          </w:tcPr>
          <w:p w:rsidR="00650C39" w:rsidRPr="00F827AC" w:rsidRDefault="00877B85" w:rsidP="00B7696C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Préoccupation notée quant à la disponibilité du médecin pendant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</w:tc>
        <w:tc>
          <w:tcPr>
            <w:tcW w:w="48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2488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6020" w:type="dxa"/>
          </w:tcPr>
          <w:p w:rsidR="008F19B7" w:rsidRPr="00F827AC" w:rsidRDefault="00877B85" w:rsidP="00B7696C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Recueil de directives normalisées disponibles et signées avant l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arrêt des TMFV</w:t>
            </w:r>
          </w:p>
          <w:p w:rsidR="008F19B7" w:rsidRPr="00F827AC" w:rsidRDefault="00300273" w:rsidP="00B7696C">
            <w:pPr>
              <w:pStyle w:val="TableBodyRow"/>
              <w:rPr>
                <w:lang w:val="fr-CA"/>
              </w:rPr>
            </w:pPr>
          </w:p>
          <w:p w:rsidR="00650C39" w:rsidRPr="00F827AC" w:rsidRDefault="00877B85" w:rsidP="00B7696C">
            <w:pPr>
              <w:pStyle w:val="TableBodyRow"/>
              <w:rPr>
                <w:lang w:val="fr-CA"/>
              </w:rPr>
            </w:pPr>
            <w:r>
              <w:rPr>
                <w:i/>
                <w:iCs/>
                <w:lang w:val="fr-CA"/>
              </w:rPr>
              <w:t>Vérifier les dates et les heures inscrites.</w:t>
            </w:r>
          </w:p>
        </w:tc>
        <w:tc>
          <w:tcPr>
            <w:tcW w:w="48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  <w:tc>
          <w:tcPr>
            <w:tcW w:w="2488" w:type="dxa"/>
          </w:tcPr>
          <w:p w:rsidR="00650C39" w:rsidRPr="00F827AC" w:rsidRDefault="00300273" w:rsidP="00B7696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9522" w:type="dxa"/>
            <w:gridSpan w:val="4"/>
            <w:vAlign w:val="center"/>
          </w:tcPr>
          <w:p w:rsidR="009E6D96" w:rsidRPr="00F827AC" w:rsidRDefault="00877B85" w:rsidP="008965F3">
            <w:pPr>
              <w:ind w:left="900" w:right="76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</w:t>
            </w:r>
            <w:r w:rsidR="001406EB">
              <w:rPr>
                <w:b/>
                <w:bCs/>
                <w:lang w:val="fr-CA"/>
              </w:rPr>
              <w:t> </w:t>
            </w:r>
            <w:r w:rsidRPr="00C278EA">
              <w:rPr>
                <w:b/>
                <w:bCs/>
                <w:lang w:val="fr-CA"/>
              </w:rPr>
              <w:t>:</w:t>
            </w:r>
            <w:r w:rsidR="008965F3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 à la fin de la présente annexe.)</w:t>
            </w:r>
          </w:p>
          <w:p w:rsidR="009E6D96" w:rsidRPr="00F827AC" w:rsidRDefault="00300273" w:rsidP="009E6D96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9E6D96" w:rsidRPr="00F827AC" w:rsidRDefault="00300273" w:rsidP="00AE3F03">
            <w:pPr>
              <w:ind w:right="198"/>
              <w:contextualSpacing/>
              <w:rPr>
                <w:sz w:val="19"/>
                <w:lang w:val="fr-CA"/>
              </w:rPr>
            </w:pPr>
          </w:p>
          <w:p w:rsidR="009E6D96" w:rsidRPr="00F827AC" w:rsidRDefault="00300273" w:rsidP="009E6D96">
            <w:pPr>
              <w:pStyle w:val="TableBodyRow"/>
              <w:rPr>
                <w:lang w:val="fr-CA"/>
              </w:rPr>
            </w:pPr>
          </w:p>
        </w:tc>
      </w:tr>
    </w:tbl>
    <w:p w:rsidR="0074341C" w:rsidRPr="00F827AC" w:rsidRDefault="00877B85" w:rsidP="0074341C">
      <w:pPr>
        <w:pStyle w:val="TableTitle"/>
        <w:rPr>
          <w:lang w:val="fr-CA"/>
        </w:rPr>
      </w:pPr>
      <w:r>
        <w:rPr>
          <w:bCs/>
          <w:lang w:val="fr-CA"/>
        </w:rPr>
        <w:t>Évaluation de la détresse et du soulagement des symptômes pendant l</w:t>
      </w:r>
      <w:r w:rsidR="001406EB">
        <w:rPr>
          <w:bCs/>
          <w:lang w:val="fr-CA"/>
        </w:rPr>
        <w:t>’</w:t>
      </w:r>
      <w:r>
        <w:rPr>
          <w:bCs/>
          <w:lang w:val="fr-CA"/>
        </w:rPr>
        <w:t>arrêt des TMFV</w:t>
      </w:r>
    </w:p>
    <w:p w:rsidR="00650C39" w:rsidRPr="00F827AC" w:rsidRDefault="00877B85" w:rsidP="004465AF">
      <w:pPr>
        <w:spacing w:after="120"/>
        <w:rPr>
          <w:rFonts w:cs="Arial"/>
          <w:szCs w:val="22"/>
          <w:lang w:val="fr-CA"/>
        </w:rPr>
      </w:pPr>
      <w:r>
        <w:rPr>
          <w:rFonts w:cs="Arial"/>
          <w:i/>
          <w:iCs/>
          <w:szCs w:val="22"/>
          <w:lang w:val="fr-CA"/>
        </w:rPr>
        <w:t>On suppose que chaque unité n</w:t>
      </w:r>
      <w:r w:rsidR="001406EB">
        <w:rPr>
          <w:rFonts w:cs="Arial"/>
          <w:i/>
          <w:iCs/>
          <w:szCs w:val="22"/>
          <w:lang w:val="fr-CA"/>
        </w:rPr>
        <w:t>’</w:t>
      </w:r>
      <w:r>
        <w:rPr>
          <w:rFonts w:cs="Arial"/>
          <w:i/>
          <w:iCs/>
          <w:szCs w:val="22"/>
          <w:lang w:val="fr-CA"/>
        </w:rPr>
        <w:t>utilisera qu</w:t>
      </w:r>
      <w:r w:rsidR="001406EB">
        <w:rPr>
          <w:rFonts w:cs="Arial"/>
          <w:i/>
          <w:iCs/>
          <w:szCs w:val="22"/>
          <w:lang w:val="fr-CA"/>
        </w:rPr>
        <w:t>’</w:t>
      </w:r>
      <w:r>
        <w:rPr>
          <w:rFonts w:cs="Arial"/>
          <w:i/>
          <w:iCs/>
          <w:szCs w:val="22"/>
          <w:lang w:val="fr-CA"/>
        </w:rPr>
        <w:t>une seule échelle d</w:t>
      </w:r>
      <w:r w:rsidR="001406EB">
        <w:rPr>
          <w:rFonts w:cs="Arial"/>
          <w:i/>
          <w:iCs/>
          <w:szCs w:val="22"/>
          <w:lang w:val="fr-CA"/>
        </w:rPr>
        <w:t>’</w:t>
      </w:r>
      <w:r>
        <w:rPr>
          <w:rFonts w:cs="Arial"/>
          <w:i/>
          <w:iCs/>
          <w:szCs w:val="22"/>
          <w:lang w:val="fr-CA"/>
        </w:rPr>
        <w:t>évaluation des symptômes.</w:t>
      </w:r>
    </w:p>
    <w:tbl>
      <w:tblPr>
        <w:tblStyle w:val="CanadianBloodServicesTable1"/>
        <w:tblW w:w="9464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424"/>
        <w:gridCol w:w="1176"/>
        <w:gridCol w:w="1417"/>
        <w:gridCol w:w="966"/>
        <w:gridCol w:w="1481"/>
      </w:tblGrid>
      <w:tr w:rsidR="00891D82" w:rsidTr="004465AF">
        <w:trPr>
          <w:trHeight w:val="20"/>
        </w:trPr>
        <w:tc>
          <w:tcPr>
            <w:tcW w:w="4424" w:type="dxa"/>
          </w:tcPr>
          <w:p w:rsidR="0076093B" w:rsidRPr="00F827AC" w:rsidRDefault="00877B85" w:rsidP="0076093B">
            <w:pPr>
              <w:pStyle w:val="TableHeaderRow"/>
              <w:ind w:right="102"/>
              <w:rPr>
                <w:lang w:val="fr-CA"/>
              </w:rPr>
            </w:pPr>
            <w:bookmarkStart w:id="1" w:name="_Hlk510778745"/>
            <w:r>
              <w:rPr>
                <w:bCs/>
                <w:lang w:val="fr-CA"/>
              </w:rPr>
              <w:t>Les éléments suivants sont-ils consignés dans les notes des infirmières?</w:t>
            </w:r>
          </w:p>
        </w:tc>
        <w:tc>
          <w:tcPr>
            <w:tcW w:w="1176" w:type="dxa"/>
            <w:vAlign w:val="center"/>
          </w:tcPr>
          <w:p w:rsidR="0076093B" w:rsidRPr="00C278EA" w:rsidRDefault="00877B85" w:rsidP="004465AF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Toujours</w:t>
            </w:r>
          </w:p>
        </w:tc>
        <w:tc>
          <w:tcPr>
            <w:tcW w:w="1417" w:type="dxa"/>
            <w:vAlign w:val="center"/>
          </w:tcPr>
          <w:p w:rsidR="0076093B" w:rsidRPr="00C278EA" w:rsidRDefault="00877B85" w:rsidP="0074341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Pas toujours</w:t>
            </w:r>
          </w:p>
        </w:tc>
        <w:tc>
          <w:tcPr>
            <w:tcW w:w="966" w:type="dxa"/>
            <w:vAlign w:val="center"/>
          </w:tcPr>
          <w:p w:rsidR="0076093B" w:rsidRPr="00C278EA" w:rsidRDefault="00877B85" w:rsidP="0074341C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Jamais</w:t>
            </w:r>
          </w:p>
        </w:tc>
        <w:tc>
          <w:tcPr>
            <w:tcW w:w="1481" w:type="dxa"/>
            <w:vAlign w:val="center"/>
          </w:tcPr>
          <w:p w:rsidR="0076093B" w:rsidRPr="00C278EA" w:rsidRDefault="00877B85" w:rsidP="0074341C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bookmarkEnd w:id="1"/>
      <w:tr w:rsidR="00891D82" w:rsidRPr="00300273" w:rsidTr="00AE3F03">
        <w:trPr>
          <w:trHeight w:val="20"/>
        </w:trPr>
        <w:tc>
          <w:tcPr>
            <w:tcW w:w="4424" w:type="dxa"/>
          </w:tcPr>
          <w:p w:rsidR="0076093B" w:rsidRPr="00F827AC" w:rsidRDefault="00877B85" w:rsidP="0076093B">
            <w:pPr>
              <w:pStyle w:val="TableBodyRow"/>
              <w:ind w:right="102"/>
              <w:rPr>
                <w:lang w:val="fr-CA"/>
              </w:rPr>
            </w:pPr>
            <w:r>
              <w:rPr>
                <w:lang w:val="fr-CA"/>
              </w:rPr>
              <w:t>Utilisation d</w:t>
            </w:r>
            <w:r w:rsidR="001406EB">
              <w:rPr>
                <w:lang w:val="fr-CA"/>
              </w:rPr>
              <w:t>’</w:t>
            </w:r>
            <w:r>
              <w:rPr>
                <w:lang w:val="fr-CA"/>
              </w:rPr>
              <w:t>une échelle d</w:t>
            </w:r>
            <w:r w:rsidR="001406EB">
              <w:rPr>
                <w:lang w:val="fr-CA"/>
              </w:rPr>
              <w:t>’</w:t>
            </w:r>
            <w:r>
              <w:rPr>
                <w:lang w:val="fr-CA"/>
              </w:rPr>
              <w:t>évaluation de la douleur</w:t>
            </w:r>
          </w:p>
        </w:tc>
        <w:tc>
          <w:tcPr>
            <w:tcW w:w="117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17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96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81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4424" w:type="dxa"/>
          </w:tcPr>
          <w:p w:rsidR="0076093B" w:rsidRPr="00F827AC" w:rsidRDefault="00877B85" w:rsidP="0076093B">
            <w:pPr>
              <w:pStyle w:val="TableBodyRow"/>
              <w:ind w:right="102"/>
              <w:rPr>
                <w:lang w:val="fr-CA"/>
              </w:rPr>
            </w:pPr>
            <w:r w:rsidRPr="0074341C">
              <w:rPr>
                <w:lang w:val="fr-CA"/>
              </w:rPr>
              <w:t>Utilisation d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>une échelle d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 xml:space="preserve">évaluation de la sédation </w:t>
            </w:r>
          </w:p>
        </w:tc>
        <w:tc>
          <w:tcPr>
            <w:tcW w:w="117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17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96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81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4424" w:type="dxa"/>
          </w:tcPr>
          <w:p w:rsidR="0076093B" w:rsidRPr="00F827AC" w:rsidRDefault="00877B85" w:rsidP="0076093B">
            <w:pPr>
              <w:pStyle w:val="TableBodyRow"/>
              <w:ind w:right="102"/>
              <w:rPr>
                <w:lang w:val="fr-CA"/>
              </w:rPr>
            </w:pPr>
            <w:r w:rsidRPr="0074341C">
              <w:rPr>
                <w:lang w:val="fr-CA"/>
              </w:rPr>
              <w:t>Utilisation d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>une échelle d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 xml:space="preserve">évaluation de la détresse respiratoire </w:t>
            </w:r>
          </w:p>
        </w:tc>
        <w:tc>
          <w:tcPr>
            <w:tcW w:w="117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17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96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81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4424" w:type="dxa"/>
          </w:tcPr>
          <w:p w:rsidR="0076093B" w:rsidRPr="00F827AC" w:rsidRDefault="00877B85" w:rsidP="0076093B">
            <w:pPr>
              <w:pStyle w:val="TableBodyRow"/>
              <w:ind w:right="102"/>
              <w:rPr>
                <w:lang w:val="fr-CA"/>
              </w:rPr>
            </w:pPr>
            <w:r w:rsidRPr="0074341C">
              <w:rPr>
                <w:lang w:val="fr-CA"/>
              </w:rPr>
              <w:t>Utilisation d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>une échelle d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 xml:space="preserve">évaluation du délirium </w:t>
            </w:r>
          </w:p>
        </w:tc>
        <w:tc>
          <w:tcPr>
            <w:tcW w:w="117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17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96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81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4424" w:type="dxa"/>
          </w:tcPr>
          <w:p w:rsidR="0076093B" w:rsidRPr="00F827AC" w:rsidRDefault="00877B85" w:rsidP="004465AF">
            <w:pPr>
              <w:pStyle w:val="TableBodyRow"/>
              <w:ind w:right="102"/>
              <w:rPr>
                <w:lang w:val="fr-CA"/>
              </w:rPr>
            </w:pPr>
            <w:r w:rsidRPr="0074341C">
              <w:rPr>
                <w:lang w:val="fr-CA"/>
              </w:rPr>
              <w:t>Nom et posologie des médicaments utilisés pour traiter les symptômes anticipés et raison</w:t>
            </w:r>
          </w:p>
        </w:tc>
        <w:tc>
          <w:tcPr>
            <w:tcW w:w="117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17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966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  <w:tc>
          <w:tcPr>
            <w:tcW w:w="1481" w:type="dxa"/>
          </w:tcPr>
          <w:p w:rsidR="0076093B" w:rsidRPr="00F827AC" w:rsidRDefault="00300273" w:rsidP="0074341C">
            <w:pPr>
              <w:pStyle w:val="TableBodyRow"/>
              <w:rPr>
                <w:lang w:val="fr-CA"/>
              </w:rPr>
            </w:pPr>
          </w:p>
        </w:tc>
      </w:tr>
      <w:tr w:rsidR="00891D82" w:rsidTr="004465AF">
        <w:trPr>
          <w:trHeight w:val="409"/>
        </w:trPr>
        <w:tc>
          <w:tcPr>
            <w:tcW w:w="4424" w:type="dxa"/>
            <w:vMerge w:val="restart"/>
          </w:tcPr>
          <w:p w:rsidR="00810E09" w:rsidRPr="00F827AC" w:rsidRDefault="00877B85" w:rsidP="00810E09">
            <w:pPr>
              <w:pStyle w:val="TableBodyRow"/>
              <w:ind w:right="102"/>
              <w:rPr>
                <w:lang w:val="fr-CA"/>
              </w:rPr>
            </w:pPr>
            <w:r w:rsidRPr="0074341C">
              <w:rPr>
                <w:lang w:val="fr-CA"/>
              </w:rPr>
              <w:t>Dans le cas des symptômes manifestes, l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>administration de médicaments s</w:t>
            </w:r>
            <w:r w:rsidR="001406EB">
              <w:rPr>
                <w:lang w:val="fr-CA"/>
              </w:rPr>
              <w:t>’</w:t>
            </w:r>
            <w:r w:rsidRPr="0074341C">
              <w:rPr>
                <w:lang w:val="fr-CA"/>
              </w:rPr>
              <w:t>accompagnait de la consignation des renseignements suivants</w:t>
            </w:r>
            <w:r w:rsidR="001406EB">
              <w:rPr>
                <w:lang w:val="fr-CA"/>
              </w:rPr>
              <w:t> </w:t>
            </w:r>
            <w:r w:rsidRPr="0074341C">
              <w:rPr>
                <w:lang w:val="fr-CA"/>
              </w:rPr>
              <w:t>:</w:t>
            </w:r>
          </w:p>
          <w:p w:rsidR="00810E09" w:rsidRPr="00F827AC" w:rsidRDefault="00877B85" w:rsidP="00810E09">
            <w:pPr>
              <w:pStyle w:val="BulletList1"/>
              <w:spacing w:before="100" w:after="100"/>
              <w:ind w:left="273" w:right="102" w:hanging="187"/>
              <w:rPr>
                <w:rFonts w:ascii="Arial" w:hAnsi="Arial"/>
                <w:kern w:val="0"/>
                <w:sz w:val="19"/>
                <w:lang w:val="fr-CA"/>
              </w:rPr>
            </w:pPr>
            <w:r>
              <w:rPr>
                <w:rFonts w:ascii="Arial" w:hAnsi="Arial"/>
                <w:kern w:val="0"/>
                <w:sz w:val="19"/>
                <w:lang w:val="fr-CA"/>
              </w:rPr>
              <w:t>score justifiant le recours aux médicaments?</w:t>
            </w:r>
          </w:p>
          <w:p w:rsidR="00810E09" w:rsidRPr="0074341C" w:rsidRDefault="00877B85" w:rsidP="00810E09">
            <w:pPr>
              <w:pStyle w:val="BulletList1"/>
              <w:spacing w:before="100" w:after="100"/>
              <w:ind w:left="273" w:right="102" w:hanging="187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  <w:lang w:val="fr-CA"/>
              </w:rPr>
              <w:t>posologie?</w:t>
            </w:r>
          </w:p>
          <w:p w:rsidR="00810E09" w:rsidRPr="0074341C" w:rsidRDefault="00877B85" w:rsidP="004465AF">
            <w:pPr>
              <w:pStyle w:val="BulletList1"/>
              <w:spacing w:before="100" w:after="40"/>
              <w:ind w:left="273" w:right="101" w:hanging="187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  <w:lang w:val="fr-CA"/>
              </w:rPr>
              <w:t>réponse?</w:t>
            </w:r>
          </w:p>
        </w:tc>
        <w:tc>
          <w:tcPr>
            <w:tcW w:w="1176" w:type="dxa"/>
            <w:vAlign w:val="center"/>
          </w:tcPr>
          <w:p w:rsidR="00810E09" w:rsidRPr="00810E09" w:rsidRDefault="00877B85" w:rsidP="004465AF">
            <w:pPr>
              <w:spacing w:after="360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Toujours</w:t>
            </w:r>
          </w:p>
        </w:tc>
        <w:tc>
          <w:tcPr>
            <w:tcW w:w="1417" w:type="dxa"/>
            <w:vAlign w:val="center"/>
          </w:tcPr>
          <w:p w:rsidR="00810E09" w:rsidRPr="00810E09" w:rsidRDefault="00877B85" w:rsidP="004465AF">
            <w:pPr>
              <w:spacing w:after="360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Pas toujours</w:t>
            </w:r>
          </w:p>
        </w:tc>
        <w:tc>
          <w:tcPr>
            <w:tcW w:w="966" w:type="dxa"/>
            <w:vAlign w:val="center"/>
          </w:tcPr>
          <w:p w:rsidR="00810E09" w:rsidRPr="00810E09" w:rsidRDefault="00877B85" w:rsidP="004465AF">
            <w:pPr>
              <w:spacing w:after="360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Jamais</w:t>
            </w:r>
          </w:p>
        </w:tc>
        <w:tc>
          <w:tcPr>
            <w:tcW w:w="1481" w:type="dxa"/>
            <w:vAlign w:val="center"/>
          </w:tcPr>
          <w:p w:rsidR="00810E09" w:rsidRPr="00810E09" w:rsidRDefault="00877B85" w:rsidP="004465AF">
            <w:pPr>
              <w:spacing w:after="360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891D82" w:rsidTr="00AE3F03">
        <w:trPr>
          <w:trHeight w:val="20"/>
        </w:trPr>
        <w:tc>
          <w:tcPr>
            <w:tcW w:w="4424" w:type="dxa"/>
            <w:vMerge/>
          </w:tcPr>
          <w:p w:rsidR="0076093B" w:rsidRPr="0074341C" w:rsidRDefault="00300273" w:rsidP="0074341C">
            <w:pPr>
              <w:pStyle w:val="TableBodyRow"/>
            </w:pPr>
          </w:p>
        </w:tc>
        <w:tc>
          <w:tcPr>
            <w:tcW w:w="1176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1417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966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1481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</w:tr>
      <w:tr w:rsidR="00891D82" w:rsidTr="00AE3F03">
        <w:trPr>
          <w:trHeight w:val="20"/>
        </w:trPr>
        <w:tc>
          <w:tcPr>
            <w:tcW w:w="4424" w:type="dxa"/>
            <w:vMerge/>
          </w:tcPr>
          <w:p w:rsidR="0076093B" w:rsidRPr="0074341C" w:rsidRDefault="00300273" w:rsidP="0074341C">
            <w:pPr>
              <w:pStyle w:val="TableBodyRow"/>
            </w:pPr>
          </w:p>
        </w:tc>
        <w:tc>
          <w:tcPr>
            <w:tcW w:w="1176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1417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966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1481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</w:tr>
      <w:tr w:rsidR="00891D82" w:rsidTr="004465AF">
        <w:trPr>
          <w:trHeight w:val="346"/>
        </w:trPr>
        <w:tc>
          <w:tcPr>
            <w:tcW w:w="4424" w:type="dxa"/>
            <w:vMerge/>
          </w:tcPr>
          <w:p w:rsidR="0076093B" w:rsidRPr="0074341C" w:rsidRDefault="00300273" w:rsidP="0074341C">
            <w:pPr>
              <w:pStyle w:val="TableBodyRow"/>
            </w:pPr>
          </w:p>
        </w:tc>
        <w:tc>
          <w:tcPr>
            <w:tcW w:w="1176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1417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966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  <w:tc>
          <w:tcPr>
            <w:tcW w:w="1481" w:type="dxa"/>
          </w:tcPr>
          <w:p w:rsidR="0076093B" w:rsidRPr="0074341C" w:rsidRDefault="00300273" w:rsidP="004465AF">
            <w:pPr>
              <w:pStyle w:val="TableBodyRow"/>
              <w:spacing w:before="0" w:after="0"/>
            </w:pPr>
          </w:p>
        </w:tc>
      </w:tr>
      <w:tr w:rsidR="00891D82" w:rsidRPr="00300273" w:rsidTr="00AE3F03">
        <w:trPr>
          <w:trHeight w:val="20"/>
        </w:trPr>
        <w:tc>
          <w:tcPr>
            <w:tcW w:w="9464" w:type="dxa"/>
            <w:gridSpan w:val="5"/>
          </w:tcPr>
          <w:p w:rsidR="0076093B" w:rsidRPr="00F827AC" w:rsidRDefault="00877B85" w:rsidP="00AE3F03">
            <w:pPr>
              <w:ind w:left="900" w:right="76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</w:t>
            </w:r>
            <w:r w:rsidR="001406EB">
              <w:rPr>
                <w:b/>
                <w:bCs/>
                <w:lang w:val="fr-CA"/>
              </w:rPr>
              <w:t> </w:t>
            </w:r>
            <w:r w:rsidRPr="00C278EA">
              <w:rPr>
                <w:b/>
                <w:bCs/>
                <w:lang w:val="fr-CA"/>
              </w:rPr>
              <w:t>:</w:t>
            </w:r>
            <w:r w:rsidR="00AE3F03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 à la fin de la présente annexe.)</w:t>
            </w:r>
          </w:p>
          <w:p w:rsidR="0076093B" w:rsidRPr="00F827AC" w:rsidRDefault="00300273" w:rsidP="00DF1C42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76093B" w:rsidRPr="00F827AC" w:rsidRDefault="00300273" w:rsidP="00DF1C42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76093B" w:rsidRPr="00F827AC" w:rsidRDefault="00300273" w:rsidP="00DF1C42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DF1C42" w:rsidRPr="00F827AC" w:rsidRDefault="00877B85" w:rsidP="00DF1C42">
      <w:pPr>
        <w:pStyle w:val="TableTitle"/>
        <w:rPr>
          <w:lang w:val="fr-CA"/>
        </w:rPr>
      </w:pPr>
      <w:r>
        <w:rPr>
          <w:bCs/>
          <w:lang w:val="fr-CA"/>
        </w:rPr>
        <w:lastRenderedPageBreak/>
        <w:t>Après le décès</w:t>
      </w:r>
    </w:p>
    <w:p w:rsidR="00650C39" w:rsidRPr="00F827AC" w:rsidRDefault="00877B85" w:rsidP="00650C39">
      <w:pPr>
        <w:rPr>
          <w:rFonts w:cs="Arial"/>
          <w:szCs w:val="22"/>
          <w:lang w:val="fr-CA"/>
        </w:rPr>
      </w:pPr>
      <w:r>
        <w:rPr>
          <w:rFonts w:cs="Arial"/>
          <w:i/>
          <w:iCs/>
          <w:szCs w:val="22"/>
          <w:lang w:val="fr-CA"/>
        </w:rPr>
        <w:t>Les éléments suivants constituent des suggestions. La documentation des éléments doit être claire. On suggère d</w:t>
      </w:r>
      <w:r w:rsidR="001406EB">
        <w:rPr>
          <w:rFonts w:cs="Arial"/>
          <w:i/>
          <w:iCs/>
          <w:szCs w:val="22"/>
          <w:lang w:val="fr-CA"/>
        </w:rPr>
        <w:t>’</w:t>
      </w:r>
      <w:r>
        <w:rPr>
          <w:rFonts w:cs="Arial"/>
          <w:i/>
          <w:iCs/>
          <w:szCs w:val="22"/>
          <w:lang w:val="fr-CA"/>
        </w:rPr>
        <w:t>employer une liste de contrôle après l</w:t>
      </w:r>
      <w:r w:rsidR="001406EB">
        <w:rPr>
          <w:rFonts w:cs="Arial"/>
          <w:i/>
          <w:iCs/>
          <w:szCs w:val="22"/>
          <w:lang w:val="fr-CA"/>
        </w:rPr>
        <w:t>’</w:t>
      </w:r>
      <w:r>
        <w:rPr>
          <w:rFonts w:cs="Arial"/>
          <w:i/>
          <w:iCs/>
          <w:szCs w:val="22"/>
          <w:lang w:val="fr-CA"/>
        </w:rPr>
        <w:t>arrêt des TMFV contenant les éléments suivants</w:t>
      </w:r>
      <w:r w:rsidR="001406EB">
        <w:rPr>
          <w:rFonts w:cs="Arial"/>
          <w:i/>
          <w:iCs/>
          <w:szCs w:val="22"/>
          <w:lang w:val="fr-CA"/>
        </w:rPr>
        <w:t> </w:t>
      </w:r>
      <w:r>
        <w:rPr>
          <w:rFonts w:cs="Arial"/>
          <w:i/>
          <w:iCs/>
          <w:szCs w:val="22"/>
          <w:lang w:val="fr-CA"/>
        </w:rPr>
        <w:t>:</w:t>
      </w:r>
    </w:p>
    <w:tbl>
      <w:tblPr>
        <w:tblStyle w:val="CanadianBloodServicesTable1"/>
        <w:tblW w:w="952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799"/>
        <w:gridCol w:w="630"/>
        <w:gridCol w:w="532"/>
        <w:gridCol w:w="2561"/>
      </w:tblGrid>
      <w:tr w:rsidR="00891D82" w:rsidTr="00AE3F03">
        <w:tc>
          <w:tcPr>
            <w:tcW w:w="5799" w:type="dxa"/>
          </w:tcPr>
          <w:p w:rsidR="00DF1C42" w:rsidRPr="0002652E" w:rsidRDefault="00877B85" w:rsidP="00DF1C42">
            <w:pPr>
              <w:pStyle w:val="TableHeaderRow"/>
            </w:pPr>
            <w:r>
              <w:rPr>
                <w:bCs/>
                <w:lang w:val="fr-CA"/>
              </w:rPr>
              <w:t>Suivi</w:t>
            </w:r>
          </w:p>
        </w:tc>
        <w:tc>
          <w:tcPr>
            <w:tcW w:w="630" w:type="dxa"/>
            <w:vAlign w:val="center"/>
          </w:tcPr>
          <w:p w:rsidR="00DF1C42" w:rsidRPr="00C278EA" w:rsidRDefault="00877B85" w:rsidP="00650E11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Oui</w:t>
            </w:r>
          </w:p>
        </w:tc>
        <w:tc>
          <w:tcPr>
            <w:tcW w:w="532" w:type="dxa"/>
            <w:vAlign w:val="center"/>
          </w:tcPr>
          <w:p w:rsidR="00DF1C42" w:rsidRPr="00C278EA" w:rsidRDefault="00877B85" w:rsidP="00650E11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Non</w:t>
            </w:r>
          </w:p>
        </w:tc>
        <w:tc>
          <w:tcPr>
            <w:tcW w:w="2561" w:type="dxa"/>
            <w:vAlign w:val="center"/>
          </w:tcPr>
          <w:p w:rsidR="00DF1C42" w:rsidRPr="00C278EA" w:rsidRDefault="00877B85" w:rsidP="00DF1C42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Commentaires</w:t>
            </w:r>
          </w:p>
        </w:tc>
      </w:tr>
      <w:tr w:rsidR="00891D82" w:rsidRPr="00300273" w:rsidTr="00AE3F03">
        <w:trPr>
          <w:trHeight w:val="20"/>
        </w:trPr>
        <w:tc>
          <w:tcPr>
            <w:tcW w:w="5799" w:type="dxa"/>
          </w:tcPr>
          <w:p w:rsidR="00650C39" w:rsidRPr="00F827AC" w:rsidRDefault="00877B85" w:rsidP="00DF1C42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Documentation, information et soutien sur le deuil offerts à la famille</w:t>
            </w:r>
          </w:p>
        </w:tc>
        <w:tc>
          <w:tcPr>
            <w:tcW w:w="630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  <w:tc>
          <w:tcPr>
            <w:tcW w:w="2561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5799" w:type="dxa"/>
          </w:tcPr>
          <w:p w:rsidR="00650C39" w:rsidRPr="00F827AC" w:rsidRDefault="00877B85" w:rsidP="00DF1C42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Aiguillage vers un service d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>aide aux personnes en deuil</w:t>
            </w:r>
          </w:p>
        </w:tc>
        <w:tc>
          <w:tcPr>
            <w:tcW w:w="630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  <w:tc>
          <w:tcPr>
            <w:tcW w:w="2561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5799" w:type="dxa"/>
          </w:tcPr>
          <w:p w:rsidR="00650C39" w:rsidRPr="00F827AC" w:rsidRDefault="00877B85" w:rsidP="00DF1C42">
            <w:pPr>
              <w:pStyle w:val="TableBodyRow"/>
              <w:rPr>
                <w:lang w:val="fr-CA"/>
              </w:rPr>
            </w:pPr>
            <w:r w:rsidRPr="0002652E">
              <w:rPr>
                <w:lang w:val="fr-CA"/>
              </w:rPr>
              <w:t>Suggestion d</w:t>
            </w:r>
            <w:r w:rsidR="001406EB">
              <w:rPr>
                <w:lang w:val="fr-CA"/>
              </w:rPr>
              <w:t>’</w:t>
            </w:r>
            <w:r w:rsidRPr="0002652E">
              <w:rPr>
                <w:lang w:val="fr-CA"/>
              </w:rPr>
              <w:t xml:space="preserve">examen du cas consignée </w:t>
            </w:r>
          </w:p>
        </w:tc>
        <w:tc>
          <w:tcPr>
            <w:tcW w:w="630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  <w:tc>
          <w:tcPr>
            <w:tcW w:w="532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  <w:tc>
          <w:tcPr>
            <w:tcW w:w="2561" w:type="dxa"/>
          </w:tcPr>
          <w:p w:rsidR="00650C39" w:rsidRPr="00F827AC" w:rsidRDefault="00300273" w:rsidP="00DF1C42">
            <w:pPr>
              <w:pStyle w:val="TableBodyRow"/>
              <w:rPr>
                <w:lang w:val="fr-CA"/>
              </w:rPr>
            </w:pPr>
          </w:p>
        </w:tc>
      </w:tr>
      <w:tr w:rsidR="00891D82" w:rsidRPr="00300273" w:rsidTr="00AE3F03">
        <w:trPr>
          <w:trHeight w:val="20"/>
        </w:trPr>
        <w:tc>
          <w:tcPr>
            <w:tcW w:w="9522" w:type="dxa"/>
            <w:gridSpan w:val="4"/>
            <w:vAlign w:val="center"/>
          </w:tcPr>
          <w:p w:rsidR="00DF1C42" w:rsidRPr="00F827AC" w:rsidRDefault="00877B85" w:rsidP="00716F70">
            <w:pPr>
              <w:ind w:left="900" w:right="76" w:hanging="900"/>
              <w:rPr>
                <w:b/>
                <w:lang w:val="fr-CA"/>
              </w:rPr>
            </w:pPr>
            <w:r w:rsidRPr="00C278EA">
              <w:rPr>
                <w:b/>
                <w:bCs/>
                <w:lang w:val="fr-CA"/>
              </w:rPr>
              <w:t>Notes</w:t>
            </w:r>
            <w:r w:rsidR="001406EB">
              <w:rPr>
                <w:b/>
                <w:bCs/>
                <w:lang w:val="fr-CA"/>
              </w:rPr>
              <w:t> </w:t>
            </w:r>
            <w:r w:rsidRPr="00C278EA">
              <w:rPr>
                <w:b/>
                <w:bCs/>
                <w:lang w:val="fr-CA"/>
              </w:rPr>
              <w:t>:</w:t>
            </w:r>
            <w:r w:rsidR="00716F70">
              <w:rPr>
                <w:b/>
                <w:bCs/>
                <w:lang w:val="fr-CA"/>
              </w:rPr>
              <w:tab/>
            </w:r>
            <w:r w:rsidRPr="00C278EA">
              <w:rPr>
                <w:i/>
                <w:iCs/>
                <w:sz w:val="18"/>
                <w:lang w:val="fr-CA"/>
              </w:rPr>
              <w:t>(Tout élément manquant doit être indiqué dans la section Mesures à prendre à la fin de la présente annexe.)</w:t>
            </w:r>
          </w:p>
          <w:p w:rsidR="00DF1C42" w:rsidRPr="00F827AC" w:rsidRDefault="00300273" w:rsidP="00DF1C42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9E6D96" w:rsidRPr="00F827AC" w:rsidRDefault="00300273" w:rsidP="00DF1C42">
            <w:pPr>
              <w:ind w:right="144"/>
              <w:contextualSpacing/>
              <w:rPr>
                <w:sz w:val="19"/>
                <w:lang w:val="fr-CA"/>
              </w:rPr>
            </w:pPr>
          </w:p>
          <w:p w:rsidR="009E6D96" w:rsidRPr="00F827AC" w:rsidRDefault="00300273" w:rsidP="00DF1C42">
            <w:pPr>
              <w:ind w:right="144"/>
              <w:contextualSpacing/>
              <w:rPr>
                <w:sz w:val="19"/>
                <w:lang w:val="fr-CA"/>
              </w:rPr>
            </w:pPr>
          </w:p>
        </w:tc>
      </w:tr>
    </w:tbl>
    <w:p w:rsidR="00650C39" w:rsidRPr="00F827AC" w:rsidRDefault="00300273" w:rsidP="00650C39">
      <w:pPr>
        <w:rPr>
          <w:rFonts w:cs="Arial"/>
          <w:b/>
          <w:szCs w:val="22"/>
          <w:lang w:val="fr-CA"/>
        </w:rPr>
      </w:pPr>
    </w:p>
    <w:p w:rsidR="00DF1C42" w:rsidRPr="00F827AC" w:rsidRDefault="00877B85" w:rsidP="00DF1C42">
      <w:pPr>
        <w:spacing w:before="300" w:after="40"/>
        <w:rPr>
          <w:rFonts w:ascii="Arial" w:hAnsi="Arial"/>
          <w:b/>
          <w:lang w:val="fr-CA"/>
        </w:rPr>
      </w:pPr>
      <w:r>
        <w:rPr>
          <w:rFonts w:ascii="Arial" w:hAnsi="Arial"/>
          <w:b/>
          <w:bCs/>
          <w:lang w:val="fr-CA"/>
        </w:rPr>
        <w:t>Mesures à prendre pour faire suite à l</w:t>
      </w:r>
      <w:r w:rsidR="001406EB">
        <w:rPr>
          <w:rFonts w:ascii="Arial" w:hAnsi="Arial"/>
          <w:b/>
          <w:bCs/>
          <w:lang w:val="fr-CA"/>
        </w:rPr>
        <w:t>’</w:t>
      </w:r>
      <w:r>
        <w:rPr>
          <w:rFonts w:ascii="Arial" w:hAnsi="Arial"/>
          <w:b/>
          <w:bCs/>
          <w:lang w:val="fr-CA"/>
        </w:rPr>
        <w:t>audit d</w:t>
      </w:r>
      <w:r w:rsidR="00650E11">
        <w:rPr>
          <w:rFonts w:ascii="Arial" w:hAnsi="Arial"/>
          <w:b/>
          <w:bCs/>
          <w:lang w:val="fr-CA"/>
        </w:rPr>
        <w:t>e</w:t>
      </w:r>
      <w:r>
        <w:rPr>
          <w:rFonts w:ascii="Arial" w:hAnsi="Arial"/>
          <w:b/>
          <w:bCs/>
          <w:lang w:val="fr-CA"/>
        </w:rPr>
        <w:t xml:space="preserve"> cas et responsabilité</w:t>
      </w:r>
    </w:p>
    <w:tbl>
      <w:tblPr>
        <w:tblStyle w:val="CanadianBloodServicesTable1"/>
        <w:tblW w:w="5045" w:type="pct"/>
        <w:tblLook w:val="04A0" w:firstRow="1" w:lastRow="0" w:firstColumn="1" w:lastColumn="0" w:noHBand="0" w:noVBand="1"/>
      </w:tblPr>
      <w:tblGrid>
        <w:gridCol w:w="6668"/>
        <w:gridCol w:w="2786"/>
      </w:tblGrid>
      <w:tr w:rsidR="00891D82" w:rsidTr="00716F70">
        <w:tc>
          <w:tcPr>
            <w:tcW w:w="6669" w:type="dxa"/>
            <w:vAlign w:val="center"/>
          </w:tcPr>
          <w:p w:rsidR="00DF1C42" w:rsidRPr="00C278EA" w:rsidRDefault="00877B85" w:rsidP="007E6F0F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MESURES À PRENDRE</w:t>
            </w:r>
          </w:p>
        </w:tc>
        <w:tc>
          <w:tcPr>
            <w:tcW w:w="2786" w:type="dxa"/>
            <w:vAlign w:val="center"/>
          </w:tcPr>
          <w:p w:rsidR="00DF1C42" w:rsidRPr="00C278EA" w:rsidRDefault="00877B85" w:rsidP="007E6F0F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b/>
                <w:bCs/>
                <w:color w:val="006E5E" w:themeColor="accent1"/>
                <w:kern w:val="2"/>
                <w:sz w:val="19"/>
                <w:lang w:val="fr-CA"/>
              </w:rPr>
              <w:t>RESPONSABILITÉ</w:t>
            </w:r>
          </w:p>
        </w:tc>
      </w:tr>
      <w:tr w:rsidR="00891D82" w:rsidTr="00716F70">
        <w:trPr>
          <w:trHeight w:val="20"/>
        </w:trPr>
        <w:tc>
          <w:tcPr>
            <w:tcW w:w="6669" w:type="dxa"/>
          </w:tcPr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86" w:type="dxa"/>
          </w:tcPr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1D82" w:rsidTr="00716F70">
        <w:trPr>
          <w:trHeight w:val="20"/>
        </w:trPr>
        <w:tc>
          <w:tcPr>
            <w:tcW w:w="6669" w:type="dxa"/>
          </w:tcPr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86" w:type="dxa"/>
          </w:tcPr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1D82" w:rsidTr="00716F70">
        <w:trPr>
          <w:trHeight w:val="20"/>
        </w:trPr>
        <w:tc>
          <w:tcPr>
            <w:tcW w:w="6669" w:type="dxa"/>
          </w:tcPr>
          <w:p w:rsidR="00DF1C42" w:rsidRPr="00C278EA" w:rsidRDefault="00300273" w:rsidP="007E6F0F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  <w:p w:rsidR="00DF1C42" w:rsidRPr="00C278EA" w:rsidRDefault="00300273" w:rsidP="007E6F0F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86" w:type="dxa"/>
          </w:tcPr>
          <w:p w:rsidR="00DF1C42" w:rsidRPr="00C278EA" w:rsidRDefault="00300273" w:rsidP="007E6F0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1D82" w:rsidTr="00716F70">
        <w:trPr>
          <w:trHeight w:val="20"/>
        </w:trPr>
        <w:tc>
          <w:tcPr>
            <w:tcW w:w="6669" w:type="dxa"/>
          </w:tcPr>
          <w:p w:rsidR="008F19B7" w:rsidRDefault="00300273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  <w:p w:rsidR="008F19B7" w:rsidRPr="00C278EA" w:rsidRDefault="00300273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</w:tc>
        <w:tc>
          <w:tcPr>
            <w:tcW w:w="2786" w:type="dxa"/>
          </w:tcPr>
          <w:p w:rsidR="008F19B7" w:rsidRPr="00C278EA" w:rsidRDefault="00300273" w:rsidP="007E6F0F">
            <w:pPr>
              <w:rPr>
                <w:rFonts w:cs="Arial"/>
                <w:szCs w:val="22"/>
              </w:rPr>
            </w:pPr>
          </w:p>
        </w:tc>
      </w:tr>
      <w:tr w:rsidR="00891D82" w:rsidTr="00716F70">
        <w:trPr>
          <w:trHeight w:val="20"/>
        </w:trPr>
        <w:tc>
          <w:tcPr>
            <w:tcW w:w="6669" w:type="dxa"/>
          </w:tcPr>
          <w:p w:rsidR="008F19B7" w:rsidRDefault="00300273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  <w:p w:rsidR="008F19B7" w:rsidRPr="00C278EA" w:rsidRDefault="00300273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</w:tc>
        <w:tc>
          <w:tcPr>
            <w:tcW w:w="2786" w:type="dxa"/>
          </w:tcPr>
          <w:p w:rsidR="008F19B7" w:rsidRPr="00C278EA" w:rsidRDefault="00300273" w:rsidP="007E6F0F">
            <w:pPr>
              <w:rPr>
                <w:rFonts w:cs="Arial"/>
                <w:szCs w:val="22"/>
              </w:rPr>
            </w:pPr>
          </w:p>
        </w:tc>
      </w:tr>
    </w:tbl>
    <w:p w:rsidR="00DF1C42" w:rsidRPr="00C278EA" w:rsidRDefault="00300273" w:rsidP="00DF1C42">
      <w:pPr>
        <w:spacing w:after="100" w:line="264" w:lineRule="auto"/>
        <w:rPr>
          <w:rFonts w:ascii="Times New Roman" w:hAnsi="Times New Roman"/>
          <w:kern w:val="2"/>
        </w:rPr>
      </w:pPr>
    </w:p>
    <w:tbl>
      <w:tblPr>
        <w:tblStyle w:val="TableGridLight1"/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2489"/>
        <w:gridCol w:w="1658"/>
      </w:tblGrid>
      <w:tr w:rsidR="00891D82" w:rsidTr="00716F70">
        <w:trPr>
          <w:trHeight w:val="720"/>
        </w:trPr>
        <w:tc>
          <w:tcPr>
            <w:tcW w:w="5327" w:type="dxa"/>
          </w:tcPr>
          <w:p w:rsidR="00DF1C42" w:rsidRPr="00C278EA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FAIT PAR</w:t>
            </w:r>
          </w:p>
        </w:tc>
        <w:tc>
          <w:tcPr>
            <w:tcW w:w="2489" w:type="dxa"/>
          </w:tcPr>
          <w:p w:rsidR="00DF1C42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DATE</w:t>
            </w:r>
          </w:p>
          <w:p w:rsidR="00462E73" w:rsidRPr="00C278EA" w:rsidRDefault="00877B85" w:rsidP="00462E73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  <w:lang w:val="fr-CA"/>
              </w:rPr>
              <w:t>AAAA/MM/JJ</w:t>
            </w:r>
          </w:p>
        </w:tc>
        <w:tc>
          <w:tcPr>
            <w:tcW w:w="1658" w:type="dxa"/>
          </w:tcPr>
          <w:p w:rsidR="00DF1C42" w:rsidRDefault="00877B85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  <w:lang w:val="fr-CA"/>
              </w:rPr>
              <w:t>HEURE</w:t>
            </w:r>
          </w:p>
          <w:p w:rsidR="008F19B7" w:rsidRPr="00C278EA" w:rsidRDefault="00877B85" w:rsidP="008F19B7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 w:rsidRPr="008F19B7">
              <w:rPr>
                <w:rFonts w:cs="Arial"/>
                <w:color w:val="auto"/>
                <w:lang w:val="fr-CA"/>
              </w:rPr>
              <w:t>:</w:t>
            </w:r>
          </w:p>
        </w:tc>
      </w:tr>
    </w:tbl>
    <w:p w:rsidR="00DF1C42" w:rsidRPr="00C278EA" w:rsidRDefault="00300273" w:rsidP="00DF1C42">
      <w:pPr>
        <w:spacing w:after="100" w:line="264" w:lineRule="auto"/>
        <w:rPr>
          <w:rFonts w:ascii="Times New Roman" w:hAnsi="Times New Roman"/>
          <w:kern w:val="2"/>
        </w:rPr>
      </w:pPr>
    </w:p>
    <w:p w:rsidR="00DF1C42" w:rsidRPr="00C278EA" w:rsidRDefault="00877B85" w:rsidP="00DF1C42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  <w:lang w:val="fr-CA"/>
        </w:rPr>
        <w:t>-------------------------------------------------------------------------------------------------------------------------------</w:t>
      </w:r>
    </w:p>
    <w:p w:rsidR="00DF1C42" w:rsidRPr="00F827AC" w:rsidRDefault="00877B85" w:rsidP="00DF1C42">
      <w:pPr>
        <w:spacing w:before="100" w:after="240" w:line="264" w:lineRule="auto"/>
        <w:rPr>
          <w:rFonts w:ascii="Times New Roman" w:hAnsi="Times New Roman"/>
          <w:kern w:val="2"/>
          <w:lang w:val="fr-CA"/>
        </w:rPr>
      </w:pPr>
      <w:r w:rsidRPr="00C278EA">
        <w:rPr>
          <w:rFonts w:ascii="Times New Roman" w:hAnsi="Times New Roman"/>
          <w:kern w:val="2"/>
          <w:lang w:val="fr-CA"/>
        </w:rPr>
        <w:t>L</w:t>
      </w:r>
      <w:r w:rsidR="001406EB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>outil d</w:t>
      </w:r>
      <w:r w:rsidR="001406EB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>audit de cas a facilité la discussion</w:t>
      </w:r>
      <w:r w:rsidR="001406EB">
        <w:rPr>
          <w:rFonts w:ascii="Times New Roman" w:hAnsi="Times New Roman"/>
          <w:kern w:val="2"/>
          <w:lang w:val="fr-CA"/>
        </w:rPr>
        <w:t> </w:t>
      </w:r>
      <w:r w:rsidRPr="00C278EA">
        <w:rPr>
          <w:rFonts w:ascii="Times New Roman" w:hAnsi="Times New Roman"/>
          <w:kern w:val="2"/>
          <w:lang w:val="fr-CA"/>
        </w:rPr>
        <w:t xml:space="preserve">: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</w:t>
      </w:r>
      <w:r w:rsidR="008965F3">
        <w:rPr>
          <w:rFonts w:ascii="Times New Roman" w:hAnsi="Times New Roman"/>
          <w:kern w:val="2"/>
          <w:lang w:val="fr-CA"/>
        </w:rPr>
        <w:t xml:space="preserve"> </w:t>
      </w:r>
      <w:r w:rsidRPr="00C278EA">
        <w:rPr>
          <w:rFonts w:ascii="Times New Roman" w:hAnsi="Times New Roman"/>
          <w:kern w:val="2"/>
          <w:lang w:val="fr-CA"/>
        </w:rPr>
        <w:t>Oui</w:t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  <w:t xml:space="preserve">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</w:t>
      </w:r>
      <w:r w:rsidR="008965F3">
        <w:rPr>
          <w:rFonts w:ascii="Times New Roman" w:hAnsi="Times New Roman"/>
          <w:kern w:val="2"/>
          <w:lang w:val="fr-CA"/>
        </w:rPr>
        <w:t xml:space="preserve"> </w:t>
      </w:r>
      <w:r w:rsidRPr="00C278EA">
        <w:rPr>
          <w:rFonts w:ascii="Times New Roman" w:hAnsi="Times New Roman"/>
          <w:kern w:val="2"/>
          <w:lang w:val="fr-CA"/>
        </w:rPr>
        <w:t>Non</w:t>
      </w:r>
    </w:p>
    <w:p w:rsidR="00DF1C42" w:rsidRDefault="00877B85" w:rsidP="00716F70">
      <w:pPr>
        <w:spacing w:before="100" w:after="240"/>
        <w:rPr>
          <w:rFonts w:ascii="Times New Roman" w:hAnsi="Times New Roman"/>
          <w:kern w:val="2"/>
          <w:lang w:val="fr-CA"/>
        </w:rPr>
      </w:pPr>
      <w:r w:rsidRPr="00C278EA">
        <w:rPr>
          <w:rFonts w:ascii="Times New Roman" w:hAnsi="Times New Roman"/>
          <w:kern w:val="2"/>
          <w:lang w:val="fr-CA"/>
        </w:rPr>
        <w:t>L</w:t>
      </w:r>
      <w:r w:rsidR="001406EB">
        <w:rPr>
          <w:rFonts w:ascii="Times New Roman" w:hAnsi="Times New Roman"/>
          <w:kern w:val="2"/>
          <w:lang w:val="fr-CA"/>
        </w:rPr>
        <w:t>’</w:t>
      </w:r>
      <w:r w:rsidRPr="00C278EA">
        <w:rPr>
          <w:rFonts w:ascii="Times New Roman" w:hAnsi="Times New Roman"/>
          <w:kern w:val="2"/>
          <w:lang w:val="fr-CA"/>
        </w:rPr>
        <w:t>outil doit être revu</w:t>
      </w:r>
      <w:r w:rsidR="001406EB">
        <w:rPr>
          <w:rFonts w:ascii="Times New Roman" w:hAnsi="Times New Roman"/>
          <w:kern w:val="2"/>
          <w:lang w:val="fr-CA"/>
        </w:rPr>
        <w:t> </w:t>
      </w:r>
      <w:r w:rsidRPr="00C278EA">
        <w:rPr>
          <w:rFonts w:ascii="Times New Roman" w:hAnsi="Times New Roman"/>
          <w:kern w:val="2"/>
          <w:lang w:val="fr-CA"/>
        </w:rPr>
        <w:t xml:space="preserve">: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</w:t>
      </w:r>
      <w:r w:rsidR="008965F3">
        <w:rPr>
          <w:rFonts w:ascii="Times New Roman" w:hAnsi="Times New Roman"/>
          <w:kern w:val="2"/>
          <w:lang w:val="fr-CA"/>
        </w:rPr>
        <w:t xml:space="preserve"> </w:t>
      </w:r>
      <w:r w:rsidRPr="00C278EA">
        <w:rPr>
          <w:rFonts w:ascii="Times New Roman" w:hAnsi="Times New Roman"/>
          <w:kern w:val="2"/>
          <w:lang w:val="fr-CA"/>
        </w:rPr>
        <w:t>Non</w:t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</w:r>
      <w:r w:rsidRPr="00C278EA">
        <w:rPr>
          <w:rFonts w:ascii="Times New Roman" w:hAnsi="Times New Roman"/>
          <w:kern w:val="2"/>
          <w:lang w:val="fr-CA"/>
        </w:rPr>
        <w:tab/>
        <w:t xml:space="preserve"> </w:t>
      </w:r>
      <w:r w:rsidRPr="00C278EA">
        <w:rPr>
          <w:rFonts w:ascii="Webdings" w:hAnsi="Webdings"/>
          <w:kern w:val="2"/>
          <w:lang w:val="fr-CA"/>
        </w:rPr>
        <w:t></w:t>
      </w:r>
      <w:r w:rsidRPr="00C278EA">
        <w:rPr>
          <w:rFonts w:ascii="Times New Roman" w:hAnsi="Times New Roman"/>
          <w:kern w:val="2"/>
          <w:lang w:val="fr-CA"/>
        </w:rPr>
        <w:t xml:space="preserve"> </w:t>
      </w:r>
      <w:r w:rsidR="008965F3">
        <w:rPr>
          <w:rFonts w:ascii="Times New Roman" w:hAnsi="Times New Roman"/>
          <w:kern w:val="2"/>
          <w:lang w:val="fr-CA"/>
        </w:rPr>
        <w:t xml:space="preserve"> </w:t>
      </w:r>
      <w:r w:rsidRPr="00C278EA">
        <w:rPr>
          <w:rFonts w:ascii="Times New Roman" w:hAnsi="Times New Roman"/>
          <w:kern w:val="2"/>
          <w:lang w:val="fr-CA"/>
        </w:rPr>
        <w:t>Oui – Commentaires fournis à _________________________</w:t>
      </w:r>
    </w:p>
    <w:p w:rsidR="00242866" w:rsidRPr="005D6E15" w:rsidRDefault="00242866">
      <w:pPr>
        <w:rPr>
          <w:rFonts w:ascii="Times New Roman" w:hAnsi="Times New Roman"/>
          <w:kern w:val="2"/>
          <w:lang w:val="fr-CA"/>
        </w:rPr>
      </w:pPr>
    </w:p>
    <w:sectPr w:rsidR="00242866" w:rsidRPr="005D6E15" w:rsidSect="00583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85" w:rsidRDefault="00877B85">
      <w:pPr>
        <w:spacing w:after="0"/>
      </w:pPr>
      <w:r>
        <w:separator/>
      </w:r>
    </w:p>
  </w:endnote>
  <w:endnote w:type="continuationSeparator" w:id="0">
    <w:p w:rsidR="00877B85" w:rsidRDefault="00877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59C" w:rsidRDefault="00877B85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:rsidR="00DD259C" w:rsidRPr="00DD259C" w:rsidRDefault="00300273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96" w:rsidRPr="00F827AC" w:rsidRDefault="00300273" w:rsidP="00803874">
    <w:pPr>
      <w:pStyle w:val="Footer"/>
      <w:jc w:val="left"/>
      <w:rPr>
        <w:lang w:val="fr-CA"/>
      </w:rPr>
    </w:pPr>
    <w:sdt>
      <w:sdtPr>
        <w:id w:val="328201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7B85">
          <w:rPr>
            <w:lang w:val="fr-CA"/>
          </w:rPr>
          <w:t>Arrêt des TMFV – Audit de cas</w:t>
        </w:r>
        <w:r w:rsidR="00877B85">
          <w:rPr>
            <w:lang w:val="fr-CA"/>
          </w:rPr>
          <w:tab/>
        </w:r>
        <w:r w:rsidR="00877B85">
          <w:rPr>
            <w:lang w:val="fr-CA"/>
          </w:rPr>
          <w:tab/>
          <w:t xml:space="preserve">Page </w:t>
        </w:r>
        <w:r w:rsidR="00877B85" w:rsidRPr="008B5930">
          <w:fldChar w:fldCharType="begin"/>
        </w:r>
        <w:r w:rsidR="00877B85" w:rsidRPr="00F827AC">
          <w:rPr>
            <w:lang w:val="fr-CA"/>
          </w:rPr>
          <w:instrText xml:space="preserve"> PAGE   \* MERGEFORMAT </w:instrText>
        </w:r>
        <w:r w:rsidR="00877B85" w:rsidRPr="008B5930">
          <w:fldChar w:fldCharType="separate"/>
        </w:r>
        <w:r>
          <w:rPr>
            <w:noProof/>
            <w:lang w:val="fr-CA"/>
          </w:rPr>
          <w:t>4</w:t>
        </w:r>
        <w:r w:rsidR="00877B85" w:rsidRPr="008B5930">
          <w:rPr>
            <w:noProof/>
          </w:rPr>
          <w:fldChar w:fldCharType="end"/>
        </w:r>
      </w:sdtContent>
    </w:sdt>
    <w:r w:rsidR="00877B85">
      <w:rPr>
        <w:lang w:val="fr-CA"/>
      </w:rPr>
      <w:t xml:space="preserve"> de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EB" w:rsidRDefault="0014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85" w:rsidRDefault="00877B85">
      <w:pPr>
        <w:spacing w:after="0"/>
      </w:pPr>
      <w:r>
        <w:separator/>
      </w:r>
    </w:p>
  </w:footnote>
  <w:footnote w:type="continuationSeparator" w:id="0">
    <w:p w:rsidR="00877B85" w:rsidRDefault="00877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5" w:rsidRDefault="00877B85">
    <w:pPr>
      <w:pStyle w:val="Header"/>
    </w:pP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259C" w:rsidRPr="001406EB" w:rsidRDefault="00877B85" w:rsidP="00DD259C">
                          <w:pPr>
                            <w:pStyle w:val="HeaderSubtitle"/>
                            <w:rPr>
                              <w:lang w:val="fr-CA"/>
                            </w:rPr>
                          </w:pPr>
                          <w:r>
                            <w:fldChar w:fldCharType="begin"/>
                          </w:r>
                          <w:r w:rsidRPr="001406EB">
                            <w:rPr>
                              <w:lang w:val="fr-CA"/>
                            </w:rP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1406EB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Erreur ! Utilisez l'onglet Accueil pour appliquer Heading 5,Heading au texte que vous souhaitez faire apparaître ici.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:rsidR="00DD259C" w:rsidRPr="00F827AC" w:rsidRDefault="00877B85" w:rsidP="000E0198">
                              <w:pPr>
                                <w:pStyle w:val="HeaderSubtitle"/>
                                <w:rPr>
                                  <w:lang w:val="fr-CA"/>
                                </w:rPr>
                              </w:pPr>
                              <w:r w:rsidRPr="00321469">
                                <w:rPr>
                                  <w:rStyle w:val="PlaceholderText"/>
                                  <w:lang w:val="fr-CA"/>
                                </w:rPr>
                                <w:t>Cliquez ici pour entrer la date.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" filled="f" stroked="f" strokeweight=".5pt">
              <v:textbox>
                <w:txbxContent>
                  <w:p w:rsidR="00DD259C" w:rsidRPr="001406EB" w:rsidRDefault="00877B85" w:rsidP="00DD259C">
                    <w:pPr>
                      <w:pStyle w:val="HeaderSubtitle"/>
                      <w:rPr>
                        <w:lang w:val="fr-CA"/>
                      </w:rPr>
                    </w:pPr>
                    <w:r>
                      <w:fldChar w:fldCharType="begin"/>
                    </w:r>
                    <w:r w:rsidRPr="001406EB">
                      <w:rPr>
                        <w:lang w:val="fr-CA"/>
                      </w:rP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1406EB">
                      <w:rPr>
                        <w:b/>
                        <w:bCs/>
                        <w:noProof/>
                        <w:lang w:val="fr-FR"/>
                      </w:rPr>
                      <w:t>Erreur ! Utilisez l'onglet Accueil pour appliquer Heading 5,Heading au texte que vous souhaitez faire apparaître ici.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:rsidR="00DD259C" w:rsidRPr="00F827AC" w:rsidRDefault="00877B85" w:rsidP="000E0198">
                        <w:pPr>
                          <w:pStyle w:val="HeaderSubtitle"/>
                          <w:rPr>
                            <w:lang w:val="fr-CA"/>
                          </w:rPr>
                        </w:pPr>
                        <w:r w:rsidRPr="00321469">
                          <w:rPr>
                            <w:rStyle w:val="PlaceholderText"/>
                            <w:lang w:val="fr-CA"/>
                          </w:rPr>
                          <w:t>Cliquez ici pour entrer la date.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:rsidR="00DD259C" w:rsidRDefault="00F827AC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fr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5in;margin-top:-120.25pt;width:126pt;height:55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DD259C" w:rsidRDefault="00F827AC" w:rsidP="00DD259C">
                        <w:pPr>
                          <w:pStyle w:val="Header"/>
                        </w:pPr>
                        <w:r>
                          <w:rPr>
                            <w:lang w:val="fr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3267C5F" id="Rectangle 15" o:spid="_x0000_s1026" style="position:absolute;margin-left:367.2pt;margin-top:0;width:100.8pt;height:15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EB" w:rsidRDefault="00140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EB" w:rsidRDefault="0014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19B1AE8"/>
    <w:multiLevelType w:val="hybridMultilevel"/>
    <w:tmpl w:val="E064EE12"/>
    <w:lvl w:ilvl="0" w:tplc="271E23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19C3068">
      <w:start w:val="1"/>
      <w:numFmt w:val="lowerLetter"/>
      <w:lvlText w:val="%2."/>
      <w:lvlJc w:val="left"/>
      <w:pPr>
        <w:ind w:left="1440" w:hanging="360"/>
      </w:pPr>
    </w:lvl>
    <w:lvl w:ilvl="2" w:tplc="81C00240" w:tentative="1">
      <w:start w:val="1"/>
      <w:numFmt w:val="lowerRoman"/>
      <w:lvlText w:val="%3."/>
      <w:lvlJc w:val="right"/>
      <w:pPr>
        <w:ind w:left="2160" w:hanging="180"/>
      </w:pPr>
    </w:lvl>
    <w:lvl w:ilvl="3" w:tplc="C8F87864" w:tentative="1">
      <w:start w:val="1"/>
      <w:numFmt w:val="decimal"/>
      <w:lvlText w:val="%4."/>
      <w:lvlJc w:val="left"/>
      <w:pPr>
        <w:ind w:left="2880" w:hanging="360"/>
      </w:pPr>
    </w:lvl>
    <w:lvl w:ilvl="4" w:tplc="13A4B9A6" w:tentative="1">
      <w:start w:val="1"/>
      <w:numFmt w:val="lowerLetter"/>
      <w:lvlText w:val="%5."/>
      <w:lvlJc w:val="left"/>
      <w:pPr>
        <w:ind w:left="3600" w:hanging="360"/>
      </w:pPr>
    </w:lvl>
    <w:lvl w:ilvl="5" w:tplc="AA10C0F0" w:tentative="1">
      <w:start w:val="1"/>
      <w:numFmt w:val="lowerRoman"/>
      <w:lvlText w:val="%6."/>
      <w:lvlJc w:val="right"/>
      <w:pPr>
        <w:ind w:left="4320" w:hanging="180"/>
      </w:pPr>
    </w:lvl>
    <w:lvl w:ilvl="6" w:tplc="41C0D040" w:tentative="1">
      <w:start w:val="1"/>
      <w:numFmt w:val="decimal"/>
      <w:lvlText w:val="%7."/>
      <w:lvlJc w:val="left"/>
      <w:pPr>
        <w:ind w:left="5040" w:hanging="360"/>
      </w:pPr>
    </w:lvl>
    <w:lvl w:ilvl="7" w:tplc="BDB8CB1A" w:tentative="1">
      <w:start w:val="1"/>
      <w:numFmt w:val="lowerLetter"/>
      <w:lvlText w:val="%8."/>
      <w:lvlJc w:val="left"/>
      <w:pPr>
        <w:ind w:left="5760" w:hanging="360"/>
      </w:pPr>
    </w:lvl>
    <w:lvl w:ilvl="8" w:tplc="1A383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CD"/>
    <w:multiLevelType w:val="hybridMultilevel"/>
    <w:tmpl w:val="36E2D038"/>
    <w:lvl w:ilvl="0" w:tplc="3F1ED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79FA00A6" w:tentative="1">
      <w:start w:val="1"/>
      <w:numFmt w:val="lowerLetter"/>
      <w:lvlText w:val="%2."/>
      <w:lvlJc w:val="left"/>
      <w:pPr>
        <w:ind w:left="1440" w:hanging="360"/>
      </w:pPr>
    </w:lvl>
    <w:lvl w:ilvl="2" w:tplc="368C0466" w:tentative="1">
      <w:start w:val="1"/>
      <w:numFmt w:val="lowerRoman"/>
      <w:lvlText w:val="%3."/>
      <w:lvlJc w:val="right"/>
      <w:pPr>
        <w:ind w:left="2160" w:hanging="180"/>
      </w:pPr>
    </w:lvl>
    <w:lvl w:ilvl="3" w:tplc="2FD69412" w:tentative="1">
      <w:start w:val="1"/>
      <w:numFmt w:val="decimal"/>
      <w:lvlText w:val="%4."/>
      <w:lvlJc w:val="left"/>
      <w:pPr>
        <w:ind w:left="2880" w:hanging="360"/>
      </w:pPr>
    </w:lvl>
    <w:lvl w:ilvl="4" w:tplc="17A68E8A" w:tentative="1">
      <w:start w:val="1"/>
      <w:numFmt w:val="lowerLetter"/>
      <w:lvlText w:val="%5."/>
      <w:lvlJc w:val="left"/>
      <w:pPr>
        <w:ind w:left="3600" w:hanging="360"/>
      </w:pPr>
    </w:lvl>
    <w:lvl w:ilvl="5" w:tplc="DA1854D0" w:tentative="1">
      <w:start w:val="1"/>
      <w:numFmt w:val="lowerRoman"/>
      <w:lvlText w:val="%6."/>
      <w:lvlJc w:val="right"/>
      <w:pPr>
        <w:ind w:left="4320" w:hanging="180"/>
      </w:pPr>
    </w:lvl>
    <w:lvl w:ilvl="6" w:tplc="2008427A" w:tentative="1">
      <w:start w:val="1"/>
      <w:numFmt w:val="decimal"/>
      <w:lvlText w:val="%7."/>
      <w:lvlJc w:val="left"/>
      <w:pPr>
        <w:ind w:left="5040" w:hanging="360"/>
      </w:pPr>
    </w:lvl>
    <w:lvl w:ilvl="7" w:tplc="D15431C6" w:tentative="1">
      <w:start w:val="1"/>
      <w:numFmt w:val="lowerLetter"/>
      <w:lvlText w:val="%8."/>
      <w:lvlJc w:val="left"/>
      <w:pPr>
        <w:ind w:left="5760" w:hanging="360"/>
      </w:pPr>
    </w:lvl>
    <w:lvl w:ilvl="8" w:tplc="DBC46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CD"/>
    <w:multiLevelType w:val="hybridMultilevel"/>
    <w:tmpl w:val="F63ABD58"/>
    <w:lvl w:ilvl="0" w:tplc="73260E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04AD212" w:tentative="1">
      <w:start w:val="1"/>
      <w:numFmt w:val="lowerLetter"/>
      <w:lvlText w:val="%2."/>
      <w:lvlJc w:val="left"/>
      <w:pPr>
        <w:ind w:left="1440" w:hanging="360"/>
      </w:pPr>
    </w:lvl>
    <w:lvl w:ilvl="2" w:tplc="98CC4B44" w:tentative="1">
      <w:start w:val="1"/>
      <w:numFmt w:val="lowerRoman"/>
      <w:lvlText w:val="%3."/>
      <w:lvlJc w:val="right"/>
      <w:pPr>
        <w:ind w:left="2160" w:hanging="180"/>
      </w:pPr>
    </w:lvl>
    <w:lvl w:ilvl="3" w:tplc="F718D83C" w:tentative="1">
      <w:start w:val="1"/>
      <w:numFmt w:val="decimal"/>
      <w:lvlText w:val="%4."/>
      <w:lvlJc w:val="left"/>
      <w:pPr>
        <w:ind w:left="2880" w:hanging="360"/>
      </w:pPr>
    </w:lvl>
    <w:lvl w:ilvl="4" w:tplc="EE725540" w:tentative="1">
      <w:start w:val="1"/>
      <w:numFmt w:val="lowerLetter"/>
      <w:lvlText w:val="%5."/>
      <w:lvlJc w:val="left"/>
      <w:pPr>
        <w:ind w:left="3600" w:hanging="360"/>
      </w:pPr>
    </w:lvl>
    <w:lvl w:ilvl="5" w:tplc="FBF46C56" w:tentative="1">
      <w:start w:val="1"/>
      <w:numFmt w:val="lowerRoman"/>
      <w:lvlText w:val="%6."/>
      <w:lvlJc w:val="right"/>
      <w:pPr>
        <w:ind w:left="4320" w:hanging="180"/>
      </w:pPr>
    </w:lvl>
    <w:lvl w:ilvl="6" w:tplc="BF7A2D7A" w:tentative="1">
      <w:start w:val="1"/>
      <w:numFmt w:val="decimal"/>
      <w:lvlText w:val="%7."/>
      <w:lvlJc w:val="left"/>
      <w:pPr>
        <w:ind w:left="5040" w:hanging="360"/>
      </w:pPr>
    </w:lvl>
    <w:lvl w:ilvl="7" w:tplc="11625568" w:tentative="1">
      <w:start w:val="1"/>
      <w:numFmt w:val="lowerLetter"/>
      <w:lvlText w:val="%8."/>
      <w:lvlJc w:val="left"/>
      <w:pPr>
        <w:ind w:left="5760" w:hanging="360"/>
      </w:pPr>
    </w:lvl>
    <w:lvl w:ilvl="8" w:tplc="092C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7162B9"/>
    <w:multiLevelType w:val="hybridMultilevel"/>
    <w:tmpl w:val="2772BA3A"/>
    <w:lvl w:ilvl="0" w:tplc="EB3CFD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58CA264" w:tentative="1">
      <w:start w:val="1"/>
      <w:numFmt w:val="lowerLetter"/>
      <w:lvlText w:val="%2."/>
      <w:lvlJc w:val="left"/>
      <w:pPr>
        <w:ind w:left="1440" w:hanging="360"/>
      </w:pPr>
    </w:lvl>
    <w:lvl w:ilvl="2" w:tplc="5A803502" w:tentative="1">
      <w:start w:val="1"/>
      <w:numFmt w:val="lowerRoman"/>
      <w:lvlText w:val="%3."/>
      <w:lvlJc w:val="right"/>
      <w:pPr>
        <w:ind w:left="2160" w:hanging="180"/>
      </w:pPr>
    </w:lvl>
    <w:lvl w:ilvl="3" w:tplc="1E8E76B8" w:tentative="1">
      <w:start w:val="1"/>
      <w:numFmt w:val="decimal"/>
      <w:lvlText w:val="%4."/>
      <w:lvlJc w:val="left"/>
      <w:pPr>
        <w:ind w:left="2880" w:hanging="360"/>
      </w:pPr>
    </w:lvl>
    <w:lvl w:ilvl="4" w:tplc="F97EEB54" w:tentative="1">
      <w:start w:val="1"/>
      <w:numFmt w:val="lowerLetter"/>
      <w:lvlText w:val="%5."/>
      <w:lvlJc w:val="left"/>
      <w:pPr>
        <w:ind w:left="3600" w:hanging="360"/>
      </w:pPr>
    </w:lvl>
    <w:lvl w:ilvl="5" w:tplc="8B3E46DC" w:tentative="1">
      <w:start w:val="1"/>
      <w:numFmt w:val="lowerRoman"/>
      <w:lvlText w:val="%6."/>
      <w:lvlJc w:val="right"/>
      <w:pPr>
        <w:ind w:left="4320" w:hanging="180"/>
      </w:pPr>
    </w:lvl>
    <w:lvl w:ilvl="6" w:tplc="EEB6823E" w:tentative="1">
      <w:start w:val="1"/>
      <w:numFmt w:val="decimal"/>
      <w:lvlText w:val="%7."/>
      <w:lvlJc w:val="left"/>
      <w:pPr>
        <w:ind w:left="5040" w:hanging="360"/>
      </w:pPr>
    </w:lvl>
    <w:lvl w:ilvl="7" w:tplc="F908299E" w:tentative="1">
      <w:start w:val="1"/>
      <w:numFmt w:val="lowerLetter"/>
      <w:lvlText w:val="%8."/>
      <w:lvlJc w:val="left"/>
      <w:pPr>
        <w:ind w:left="5760" w:hanging="360"/>
      </w:pPr>
    </w:lvl>
    <w:lvl w:ilvl="8" w:tplc="FB3AA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EA0"/>
    <w:multiLevelType w:val="hybridMultilevel"/>
    <w:tmpl w:val="318AEAF2"/>
    <w:lvl w:ilvl="0" w:tplc="0AEA25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2C2F1FC" w:tentative="1">
      <w:start w:val="1"/>
      <w:numFmt w:val="lowerLetter"/>
      <w:lvlText w:val="%2."/>
      <w:lvlJc w:val="left"/>
      <w:pPr>
        <w:ind w:left="1440" w:hanging="360"/>
      </w:pPr>
    </w:lvl>
    <w:lvl w:ilvl="2" w:tplc="F21484A0" w:tentative="1">
      <w:start w:val="1"/>
      <w:numFmt w:val="lowerRoman"/>
      <w:lvlText w:val="%3."/>
      <w:lvlJc w:val="right"/>
      <w:pPr>
        <w:ind w:left="2160" w:hanging="180"/>
      </w:pPr>
    </w:lvl>
    <w:lvl w:ilvl="3" w:tplc="6B16927A" w:tentative="1">
      <w:start w:val="1"/>
      <w:numFmt w:val="decimal"/>
      <w:lvlText w:val="%4."/>
      <w:lvlJc w:val="left"/>
      <w:pPr>
        <w:ind w:left="2880" w:hanging="360"/>
      </w:pPr>
    </w:lvl>
    <w:lvl w:ilvl="4" w:tplc="F9862D44" w:tentative="1">
      <w:start w:val="1"/>
      <w:numFmt w:val="lowerLetter"/>
      <w:lvlText w:val="%5."/>
      <w:lvlJc w:val="left"/>
      <w:pPr>
        <w:ind w:left="3600" w:hanging="360"/>
      </w:pPr>
    </w:lvl>
    <w:lvl w:ilvl="5" w:tplc="DFB22C80" w:tentative="1">
      <w:start w:val="1"/>
      <w:numFmt w:val="lowerRoman"/>
      <w:lvlText w:val="%6."/>
      <w:lvlJc w:val="right"/>
      <w:pPr>
        <w:ind w:left="4320" w:hanging="180"/>
      </w:pPr>
    </w:lvl>
    <w:lvl w:ilvl="6" w:tplc="9ACE54F2" w:tentative="1">
      <w:start w:val="1"/>
      <w:numFmt w:val="decimal"/>
      <w:lvlText w:val="%7."/>
      <w:lvlJc w:val="left"/>
      <w:pPr>
        <w:ind w:left="5040" w:hanging="360"/>
      </w:pPr>
    </w:lvl>
    <w:lvl w:ilvl="7" w:tplc="5986F564" w:tentative="1">
      <w:start w:val="1"/>
      <w:numFmt w:val="lowerLetter"/>
      <w:lvlText w:val="%8."/>
      <w:lvlJc w:val="left"/>
      <w:pPr>
        <w:ind w:left="5760" w:hanging="360"/>
      </w:pPr>
    </w:lvl>
    <w:lvl w:ilvl="8" w:tplc="C1A44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2B8F"/>
    <w:multiLevelType w:val="hybridMultilevel"/>
    <w:tmpl w:val="ADEEF24A"/>
    <w:lvl w:ilvl="0" w:tplc="1A00D4AE">
      <w:start w:val="1"/>
      <w:numFmt w:val="decimal"/>
      <w:lvlText w:val="%1."/>
      <w:lvlJc w:val="left"/>
      <w:pPr>
        <w:ind w:left="720" w:hanging="360"/>
      </w:pPr>
    </w:lvl>
    <w:lvl w:ilvl="1" w:tplc="C2327778">
      <w:start w:val="1"/>
      <w:numFmt w:val="lowerLetter"/>
      <w:lvlText w:val="%2."/>
      <w:lvlJc w:val="left"/>
      <w:pPr>
        <w:ind w:left="1440" w:hanging="360"/>
      </w:pPr>
    </w:lvl>
    <w:lvl w:ilvl="2" w:tplc="9124B8B4" w:tentative="1">
      <w:start w:val="1"/>
      <w:numFmt w:val="lowerRoman"/>
      <w:lvlText w:val="%3."/>
      <w:lvlJc w:val="right"/>
      <w:pPr>
        <w:ind w:left="2160" w:hanging="180"/>
      </w:pPr>
    </w:lvl>
    <w:lvl w:ilvl="3" w:tplc="62A84DCC" w:tentative="1">
      <w:start w:val="1"/>
      <w:numFmt w:val="decimal"/>
      <w:lvlText w:val="%4."/>
      <w:lvlJc w:val="left"/>
      <w:pPr>
        <w:ind w:left="2880" w:hanging="360"/>
      </w:pPr>
    </w:lvl>
    <w:lvl w:ilvl="4" w:tplc="FD58A41A" w:tentative="1">
      <w:start w:val="1"/>
      <w:numFmt w:val="lowerLetter"/>
      <w:lvlText w:val="%5."/>
      <w:lvlJc w:val="left"/>
      <w:pPr>
        <w:ind w:left="3600" w:hanging="360"/>
      </w:pPr>
    </w:lvl>
    <w:lvl w:ilvl="5" w:tplc="03180C3A" w:tentative="1">
      <w:start w:val="1"/>
      <w:numFmt w:val="lowerRoman"/>
      <w:lvlText w:val="%6."/>
      <w:lvlJc w:val="right"/>
      <w:pPr>
        <w:ind w:left="4320" w:hanging="180"/>
      </w:pPr>
    </w:lvl>
    <w:lvl w:ilvl="6" w:tplc="8C6EBBD8" w:tentative="1">
      <w:start w:val="1"/>
      <w:numFmt w:val="decimal"/>
      <w:lvlText w:val="%7."/>
      <w:lvlJc w:val="left"/>
      <w:pPr>
        <w:ind w:left="5040" w:hanging="360"/>
      </w:pPr>
    </w:lvl>
    <w:lvl w:ilvl="7" w:tplc="07803C52" w:tentative="1">
      <w:start w:val="1"/>
      <w:numFmt w:val="lowerLetter"/>
      <w:lvlText w:val="%8."/>
      <w:lvlJc w:val="left"/>
      <w:pPr>
        <w:ind w:left="5760" w:hanging="360"/>
      </w:pPr>
    </w:lvl>
    <w:lvl w:ilvl="8" w:tplc="98EAD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500C"/>
    <w:multiLevelType w:val="hybridMultilevel"/>
    <w:tmpl w:val="3AB0E874"/>
    <w:lvl w:ilvl="0" w:tplc="2C460290">
      <w:start w:val="1"/>
      <w:numFmt w:val="decimal"/>
      <w:lvlText w:val="%1."/>
      <w:lvlJc w:val="left"/>
      <w:pPr>
        <w:ind w:left="720" w:hanging="360"/>
      </w:pPr>
    </w:lvl>
    <w:lvl w:ilvl="1" w:tplc="C56671CA">
      <w:start w:val="1"/>
      <w:numFmt w:val="lowerLetter"/>
      <w:lvlText w:val="%2."/>
      <w:lvlJc w:val="left"/>
      <w:pPr>
        <w:ind w:left="1440" w:hanging="360"/>
      </w:pPr>
    </w:lvl>
    <w:lvl w:ilvl="2" w:tplc="E57EBFEC">
      <w:start w:val="1"/>
      <w:numFmt w:val="lowerRoman"/>
      <w:lvlText w:val="%3."/>
      <w:lvlJc w:val="right"/>
      <w:pPr>
        <w:ind w:left="2160" w:hanging="180"/>
      </w:pPr>
    </w:lvl>
    <w:lvl w:ilvl="3" w:tplc="53B48AD0">
      <w:start w:val="1"/>
      <w:numFmt w:val="decimal"/>
      <w:lvlText w:val="%4."/>
      <w:lvlJc w:val="left"/>
      <w:pPr>
        <w:ind w:left="2880" w:hanging="360"/>
      </w:pPr>
    </w:lvl>
    <w:lvl w:ilvl="4" w:tplc="F8FED9B6">
      <w:start w:val="1"/>
      <w:numFmt w:val="lowerLetter"/>
      <w:lvlText w:val="%5."/>
      <w:lvlJc w:val="left"/>
      <w:pPr>
        <w:ind w:left="3600" w:hanging="360"/>
      </w:pPr>
    </w:lvl>
    <w:lvl w:ilvl="5" w:tplc="CB3E88DE">
      <w:start w:val="1"/>
      <w:numFmt w:val="lowerRoman"/>
      <w:lvlText w:val="%6."/>
      <w:lvlJc w:val="right"/>
      <w:pPr>
        <w:ind w:left="4320" w:hanging="180"/>
      </w:pPr>
    </w:lvl>
    <w:lvl w:ilvl="6" w:tplc="3A90FD80">
      <w:start w:val="1"/>
      <w:numFmt w:val="decimal"/>
      <w:lvlText w:val="%7."/>
      <w:lvlJc w:val="left"/>
      <w:pPr>
        <w:ind w:left="5040" w:hanging="360"/>
      </w:pPr>
    </w:lvl>
    <w:lvl w:ilvl="7" w:tplc="B1CC89B6">
      <w:start w:val="1"/>
      <w:numFmt w:val="lowerLetter"/>
      <w:lvlText w:val="%8."/>
      <w:lvlJc w:val="left"/>
      <w:pPr>
        <w:ind w:left="5760" w:hanging="360"/>
      </w:pPr>
    </w:lvl>
    <w:lvl w:ilvl="8" w:tplc="B288B6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3" w15:restartNumberingAfterBreak="0">
    <w:nsid w:val="34525BBD"/>
    <w:multiLevelType w:val="hybridMultilevel"/>
    <w:tmpl w:val="76367D70"/>
    <w:lvl w:ilvl="0" w:tplc="9A88FB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79CE59C" w:tentative="1">
      <w:start w:val="1"/>
      <w:numFmt w:val="lowerLetter"/>
      <w:lvlText w:val="%2."/>
      <w:lvlJc w:val="left"/>
      <w:pPr>
        <w:ind w:left="1440" w:hanging="360"/>
      </w:pPr>
    </w:lvl>
    <w:lvl w:ilvl="2" w:tplc="4258A100" w:tentative="1">
      <w:start w:val="1"/>
      <w:numFmt w:val="lowerRoman"/>
      <w:lvlText w:val="%3."/>
      <w:lvlJc w:val="right"/>
      <w:pPr>
        <w:ind w:left="2160" w:hanging="180"/>
      </w:pPr>
    </w:lvl>
    <w:lvl w:ilvl="3" w:tplc="27180D7E" w:tentative="1">
      <w:start w:val="1"/>
      <w:numFmt w:val="decimal"/>
      <w:lvlText w:val="%4."/>
      <w:lvlJc w:val="left"/>
      <w:pPr>
        <w:ind w:left="2880" w:hanging="360"/>
      </w:pPr>
    </w:lvl>
    <w:lvl w:ilvl="4" w:tplc="19344A20" w:tentative="1">
      <w:start w:val="1"/>
      <w:numFmt w:val="lowerLetter"/>
      <w:lvlText w:val="%5."/>
      <w:lvlJc w:val="left"/>
      <w:pPr>
        <w:ind w:left="3600" w:hanging="360"/>
      </w:pPr>
    </w:lvl>
    <w:lvl w:ilvl="5" w:tplc="0DF4AD7A" w:tentative="1">
      <w:start w:val="1"/>
      <w:numFmt w:val="lowerRoman"/>
      <w:lvlText w:val="%6."/>
      <w:lvlJc w:val="right"/>
      <w:pPr>
        <w:ind w:left="4320" w:hanging="180"/>
      </w:pPr>
    </w:lvl>
    <w:lvl w:ilvl="6" w:tplc="8D7404B4" w:tentative="1">
      <w:start w:val="1"/>
      <w:numFmt w:val="decimal"/>
      <w:lvlText w:val="%7."/>
      <w:lvlJc w:val="left"/>
      <w:pPr>
        <w:ind w:left="5040" w:hanging="360"/>
      </w:pPr>
    </w:lvl>
    <w:lvl w:ilvl="7" w:tplc="BE147F26" w:tentative="1">
      <w:start w:val="1"/>
      <w:numFmt w:val="lowerLetter"/>
      <w:lvlText w:val="%8."/>
      <w:lvlJc w:val="left"/>
      <w:pPr>
        <w:ind w:left="5760" w:hanging="360"/>
      </w:pPr>
    </w:lvl>
    <w:lvl w:ilvl="8" w:tplc="63343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5" w15:restartNumberingAfterBreak="0">
    <w:nsid w:val="3D8319E4"/>
    <w:multiLevelType w:val="hybridMultilevel"/>
    <w:tmpl w:val="0D140068"/>
    <w:lvl w:ilvl="0" w:tplc="58286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6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C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A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46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4F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6C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03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2B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6EB2"/>
    <w:multiLevelType w:val="hybridMultilevel"/>
    <w:tmpl w:val="D1C03262"/>
    <w:lvl w:ilvl="0" w:tplc="813AF8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EBC68850" w:tentative="1">
      <w:start w:val="1"/>
      <w:numFmt w:val="lowerLetter"/>
      <w:lvlText w:val="%2."/>
      <w:lvlJc w:val="left"/>
      <w:pPr>
        <w:ind w:left="1440" w:hanging="360"/>
      </w:pPr>
    </w:lvl>
    <w:lvl w:ilvl="2" w:tplc="C5F01804" w:tentative="1">
      <w:start w:val="1"/>
      <w:numFmt w:val="lowerRoman"/>
      <w:lvlText w:val="%3."/>
      <w:lvlJc w:val="right"/>
      <w:pPr>
        <w:ind w:left="2160" w:hanging="180"/>
      </w:pPr>
    </w:lvl>
    <w:lvl w:ilvl="3" w:tplc="C2A0EBA4" w:tentative="1">
      <w:start w:val="1"/>
      <w:numFmt w:val="decimal"/>
      <w:lvlText w:val="%4."/>
      <w:lvlJc w:val="left"/>
      <w:pPr>
        <w:ind w:left="2880" w:hanging="360"/>
      </w:pPr>
    </w:lvl>
    <w:lvl w:ilvl="4" w:tplc="A68A9D76" w:tentative="1">
      <w:start w:val="1"/>
      <w:numFmt w:val="lowerLetter"/>
      <w:lvlText w:val="%5."/>
      <w:lvlJc w:val="left"/>
      <w:pPr>
        <w:ind w:left="3600" w:hanging="360"/>
      </w:pPr>
    </w:lvl>
    <w:lvl w:ilvl="5" w:tplc="3446D0B8" w:tentative="1">
      <w:start w:val="1"/>
      <w:numFmt w:val="lowerRoman"/>
      <w:lvlText w:val="%6."/>
      <w:lvlJc w:val="right"/>
      <w:pPr>
        <w:ind w:left="4320" w:hanging="180"/>
      </w:pPr>
    </w:lvl>
    <w:lvl w:ilvl="6" w:tplc="DCDA2270" w:tentative="1">
      <w:start w:val="1"/>
      <w:numFmt w:val="decimal"/>
      <w:lvlText w:val="%7."/>
      <w:lvlJc w:val="left"/>
      <w:pPr>
        <w:ind w:left="5040" w:hanging="360"/>
      </w:pPr>
    </w:lvl>
    <w:lvl w:ilvl="7" w:tplc="74FE9700" w:tentative="1">
      <w:start w:val="1"/>
      <w:numFmt w:val="lowerLetter"/>
      <w:lvlText w:val="%8."/>
      <w:lvlJc w:val="left"/>
      <w:pPr>
        <w:ind w:left="5760" w:hanging="360"/>
      </w:pPr>
    </w:lvl>
    <w:lvl w:ilvl="8" w:tplc="4BDA6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CD6"/>
    <w:multiLevelType w:val="hybridMultilevel"/>
    <w:tmpl w:val="C944E3F6"/>
    <w:lvl w:ilvl="0" w:tplc="7ADCD84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D292D5D0" w:tentative="1">
      <w:start w:val="1"/>
      <w:numFmt w:val="lowerLetter"/>
      <w:lvlText w:val="%2."/>
      <w:lvlJc w:val="left"/>
      <w:pPr>
        <w:ind w:left="1440" w:hanging="360"/>
      </w:pPr>
    </w:lvl>
    <w:lvl w:ilvl="2" w:tplc="243C8D3C" w:tentative="1">
      <w:start w:val="1"/>
      <w:numFmt w:val="lowerRoman"/>
      <w:lvlText w:val="%3."/>
      <w:lvlJc w:val="right"/>
      <w:pPr>
        <w:ind w:left="2160" w:hanging="180"/>
      </w:pPr>
    </w:lvl>
    <w:lvl w:ilvl="3" w:tplc="CAAE21D0" w:tentative="1">
      <w:start w:val="1"/>
      <w:numFmt w:val="decimal"/>
      <w:lvlText w:val="%4."/>
      <w:lvlJc w:val="left"/>
      <w:pPr>
        <w:ind w:left="2880" w:hanging="360"/>
      </w:pPr>
    </w:lvl>
    <w:lvl w:ilvl="4" w:tplc="A968803E" w:tentative="1">
      <w:start w:val="1"/>
      <w:numFmt w:val="lowerLetter"/>
      <w:lvlText w:val="%5."/>
      <w:lvlJc w:val="left"/>
      <w:pPr>
        <w:ind w:left="3600" w:hanging="360"/>
      </w:pPr>
    </w:lvl>
    <w:lvl w:ilvl="5" w:tplc="423ED8B2" w:tentative="1">
      <w:start w:val="1"/>
      <w:numFmt w:val="lowerRoman"/>
      <w:lvlText w:val="%6."/>
      <w:lvlJc w:val="right"/>
      <w:pPr>
        <w:ind w:left="4320" w:hanging="180"/>
      </w:pPr>
    </w:lvl>
    <w:lvl w:ilvl="6" w:tplc="B9A8F972" w:tentative="1">
      <w:start w:val="1"/>
      <w:numFmt w:val="decimal"/>
      <w:lvlText w:val="%7."/>
      <w:lvlJc w:val="left"/>
      <w:pPr>
        <w:ind w:left="5040" w:hanging="360"/>
      </w:pPr>
    </w:lvl>
    <w:lvl w:ilvl="7" w:tplc="3BFE08CE" w:tentative="1">
      <w:start w:val="1"/>
      <w:numFmt w:val="lowerLetter"/>
      <w:lvlText w:val="%8."/>
      <w:lvlJc w:val="left"/>
      <w:pPr>
        <w:ind w:left="5760" w:hanging="360"/>
      </w:pPr>
    </w:lvl>
    <w:lvl w:ilvl="8" w:tplc="10829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960E5B"/>
    <w:multiLevelType w:val="hybridMultilevel"/>
    <w:tmpl w:val="BBFC5B30"/>
    <w:lvl w:ilvl="0" w:tplc="12D27E1C">
      <w:start w:val="1"/>
      <w:numFmt w:val="decimal"/>
      <w:lvlText w:val="%1."/>
      <w:lvlJc w:val="left"/>
      <w:pPr>
        <w:ind w:left="720" w:hanging="360"/>
      </w:pPr>
    </w:lvl>
    <w:lvl w:ilvl="1" w:tplc="88FE1AEA" w:tentative="1">
      <w:start w:val="1"/>
      <w:numFmt w:val="lowerLetter"/>
      <w:lvlText w:val="%2."/>
      <w:lvlJc w:val="left"/>
      <w:pPr>
        <w:ind w:left="1440" w:hanging="360"/>
      </w:pPr>
    </w:lvl>
    <w:lvl w:ilvl="2" w:tplc="EC02B8CA" w:tentative="1">
      <w:start w:val="1"/>
      <w:numFmt w:val="lowerRoman"/>
      <w:lvlText w:val="%3."/>
      <w:lvlJc w:val="right"/>
      <w:pPr>
        <w:ind w:left="2160" w:hanging="180"/>
      </w:pPr>
    </w:lvl>
    <w:lvl w:ilvl="3" w:tplc="C74C60F6" w:tentative="1">
      <w:start w:val="1"/>
      <w:numFmt w:val="decimal"/>
      <w:lvlText w:val="%4."/>
      <w:lvlJc w:val="left"/>
      <w:pPr>
        <w:ind w:left="2880" w:hanging="360"/>
      </w:pPr>
    </w:lvl>
    <w:lvl w:ilvl="4" w:tplc="39863422" w:tentative="1">
      <w:start w:val="1"/>
      <w:numFmt w:val="lowerLetter"/>
      <w:lvlText w:val="%5."/>
      <w:lvlJc w:val="left"/>
      <w:pPr>
        <w:ind w:left="3600" w:hanging="360"/>
      </w:pPr>
    </w:lvl>
    <w:lvl w:ilvl="5" w:tplc="53D69C46" w:tentative="1">
      <w:start w:val="1"/>
      <w:numFmt w:val="lowerRoman"/>
      <w:lvlText w:val="%6."/>
      <w:lvlJc w:val="right"/>
      <w:pPr>
        <w:ind w:left="4320" w:hanging="180"/>
      </w:pPr>
    </w:lvl>
    <w:lvl w:ilvl="6" w:tplc="B8BC9F88" w:tentative="1">
      <w:start w:val="1"/>
      <w:numFmt w:val="decimal"/>
      <w:lvlText w:val="%7."/>
      <w:lvlJc w:val="left"/>
      <w:pPr>
        <w:ind w:left="5040" w:hanging="360"/>
      </w:pPr>
    </w:lvl>
    <w:lvl w:ilvl="7" w:tplc="C7B042A6" w:tentative="1">
      <w:start w:val="1"/>
      <w:numFmt w:val="lowerLetter"/>
      <w:lvlText w:val="%8."/>
      <w:lvlJc w:val="left"/>
      <w:pPr>
        <w:ind w:left="5760" w:hanging="360"/>
      </w:pPr>
    </w:lvl>
    <w:lvl w:ilvl="8" w:tplc="541C0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874A1C"/>
    <w:multiLevelType w:val="hybridMultilevel"/>
    <w:tmpl w:val="B47C7D28"/>
    <w:lvl w:ilvl="0" w:tplc="E9223D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BC21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E7B818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D1A9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6F22E7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CAF8FF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9FF02404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5AE42F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7761CA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3A4BED"/>
    <w:multiLevelType w:val="hybridMultilevel"/>
    <w:tmpl w:val="29E0B9F8"/>
    <w:lvl w:ilvl="0" w:tplc="8ED045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DB257DC">
      <w:start w:val="1"/>
      <w:numFmt w:val="lowerLetter"/>
      <w:lvlText w:val="%2."/>
      <w:lvlJc w:val="left"/>
      <w:pPr>
        <w:ind w:left="1440" w:hanging="360"/>
      </w:pPr>
    </w:lvl>
    <w:lvl w:ilvl="2" w:tplc="EC307BAA" w:tentative="1">
      <w:start w:val="1"/>
      <w:numFmt w:val="lowerRoman"/>
      <w:lvlText w:val="%3."/>
      <w:lvlJc w:val="right"/>
      <w:pPr>
        <w:ind w:left="2160" w:hanging="180"/>
      </w:pPr>
    </w:lvl>
    <w:lvl w:ilvl="3" w:tplc="A5DA3EBE" w:tentative="1">
      <w:start w:val="1"/>
      <w:numFmt w:val="decimal"/>
      <w:lvlText w:val="%4."/>
      <w:lvlJc w:val="left"/>
      <w:pPr>
        <w:ind w:left="2880" w:hanging="360"/>
      </w:pPr>
    </w:lvl>
    <w:lvl w:ilvl="4" w:tplc="72CA36C6" w:tentative="1">
      <w:start w:val="1"/>
      <w:numFmt w:val="lowerLetter"/>
      <w:lvlText w:val="%5."/>
      <w:lvlJc w:val="left"/>
      <w:pPr>
        <w:ind w:left="3600" w:hanging="360"/>
      </w:pPr>
    </w:lvl>
    <w:lvl w:ilvl="5" w:tplc="CCFC6450" w:tentative="1">
      <w:start w:val="1"/>
      <w:numFmt w:val="lowerRoman"/>
      <w:lvlText w:val="%6."/>
      <w:lvlJc w:val="right"/>
      <w:pPr>
        <w:ind w:left="4320" w:hanging="180"/>
      </w:pPr>
    </w:lvl>
    <w:lvl w:ilvl="6" w:tplc="D6E49D50" w:tentative="1">
      <w:start w:val="1"/>
      <w:numFmt w:val="decimal"/>
      <w:lvlText w:val="%7."/>
      <w:lvlJc w:val="left"/>
      <w:pPr>
        <w:ind w:left="5040" w:hanging="360"/>
      </w:pPr>
    </w:lvl>
    <w:lvl w:ilvl="7" w:tplc="87ECF3C8" w:tentative="1">
      <w:start w:val="1"/>
      <w:numFmt w:val="lowerLetter"/>
      <w:lvlText w:val="%8."/>
      <w:lvlJc w:val="left"/>
      <w:pPr>
        <w:ind w:left="5760" w:hanging="360"/>
      </w:pPr>
    </w:lvl>
    <w:lvl w:ilvl="8" w:tplc="E6EEF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23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3"/>
  </w:num>
  <w:num w:numId="14">
    <w:abstractNumId w:val="24"/>
  </w:num>
  <w:num w:numId="15">
    <w:abstractNumId w:val="2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82"/>
    <w:rsid w:val="001406EB"/>
    <w:rsid w:val="00242866"/>
    <w:rsid w:val="00300273"/>
    <w:rsid w:val="004465AF"/>
    <w:rsid w:val="005D6E15"/>
    <w:rsid w:val="00650E11"/>
    <w:rsid w:val="006D7F2A"/>
    <w:rsid w:val="00716F70"/>
    <w:rsid w:val="00753103"/>
    <w:rsid w:val="00877B85"/>
    <w:rsid w:val="00891D82"/>
    <w:rsid w:val="008965F3"/>
    <w:rsid w:val="0096047F"/>
    <w:rsid w:val="00AE3F03"/>
    <w:rsid w:val="00BF326C"/>
    <w:rsid w:val="00D0168B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11168-A291-4F70-93B9-90FED1E0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il"/>
        <w:bottom w:val="single" w:sz="2" w:space="0" w:color="000000" w:themeColor="text1"/>
        <w:right w:val="nil"/>
        <w:insideH w:val="single" w:sz="2" w:space="0" w:color="000000" w:themeColor="text1"/>
        <w:insideV w:val="nil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il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  <w:style w:type="paragraph" w:styleId="NoSpacing">
    <w:name w:val="No Spacing"/>
    <w:basedOn w:val="Normal"/>
    <w:uiPriority w:val="1"/>
    <w:qFormat/>
    <w:rsid w:val="00242866"/>
    <w:pPr>
      <w:spacing w:before="100" w:beforeAutospacing="1" w:after="100" w:afterAutospacing="1"/>
    </w:pPr>
    <w:rPr>
      <w:rFonts w:ascii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e/>
</root>
</file>

<file path=customXml/item2.xml><?xml version="1.0" encoding="utf-8"?>
<root>
  <TypeOfCommunication>Type of Communication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F1104E12-2A00-46D6-AF76-BB22B1C8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Template.dotx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Canadian Blood Services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Chantal Larivee</cp:lastModifiedBy>
  <cp:revision>2</cp:revision>
  <cp:lastPrinted>2018-08-03T14:58:00Z</cp:lastPrinted>
  <dcterms:created xsi:type="dcterms:W3CDTF">2018-09-05T19:04:00Z</dcterms:created>
  <dcterms:modified xsi:type="dcterms:W3CDTF">2018-09-05T19:04:00Z</dcterms:modified>
</cp:coreProperties>
</file>